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5D9C8" w14:textId="120F8075" w:rsidR="001E6A67" w:rsidRPr="008C39F7" w:rsidRDefault="001E6A67" w:rsidP="001E6A6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 xml:space="preserve">3GPP TSG-RAN </w:t>
      </w:r>
      <w:r w:rsidRPr="008C39F7">
        <w:rPr>
          <w:rFonts w:ascii="Arial" w:eastAsia="SimSun" w:hAnsi="Arial" w:cs="Times New Roman"/>
          <w:b/>
          <w:sz w:val="24"/>
          <w:szCs w:val="20"/>
        </w:rPr>
        <w:t>WG4 Meeting #</w:t>
      </w:r>
      <w:r>
        <w:rPr>
          <w:rFonts w:ascii="Arial" w:eastAsia="SimSun" w:hAnsi="Arial" w:cs="Times New Roman"/>
          <w:b/>
          <w:sz w:val="24"/>
          <w:szCs w:val="20"/>
        </w:rPr>
        <w:t>109</w:t>
      </w:r>
      <w:r w:rsidRPr="008C39F7">
        <w:rPr>
          <w:rFonts w:ascii="Arial" w:eastAsia="SimSun" w:hAnsi="Arial" w:cs="Times New Roman"/>
          <w:b/>
          <w:bCs/>
          <w:sz w:val="24"/>
          <w:szCs w:val="20"/>
        </w:rPr>
        <w:tab/>
      </w:r>
      <w:r w:rsidR="00552FE6" w:rsidRPr="00552FE6">
        <w:rPr>
          <w:rFonts w:ascii="Arial" w:eastAsia="SimSun" w:hAnsi="Arial" w:cs="Times New Roman"/>
          <w:b/>
          <w:bCs/>
          <w:sz w:val="24"/>
          <w:szCs w:val="20"/>
          <w:lang w:eastAsia="ja-JP"/>
        </w:rPr>
        <w:t>R4-2320741</w:t>
      </w:r>
    </w:p>
    <w:p w14:paraId="4110C983" w14:textId="77777777" w:rsidR="001E6A67" w:rsidRPr="002B69F3" w:rsidRDefault="001E6A67" w:rsidP="001E6A6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Pr="002B69F3">
        <w:rPr>
          <w:rFonts w:ascii="Arial" w:eastAsia="SimSun" w:hAnsi="Arial" w:cs="Times New Roman"/>
          <w:b/>
          <w:sz w:val="24"/>
          <w:szCs w:val="20"/>
        </w:rPr>
        <w:t>, 2023</w:t>
      </w:r>
    </w:p>
    <w:bookmarkEnd w:id="0"/>
    <w:bookmarkEnd w:id="1"/>
    <w:p w14:paraId="7AEFA86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71BE61C"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4579BA8" w14:textId="19247533"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6974DA">
        <w:rPr>
          <w:rFonts w:ascii="Arial" w:eastAsia="Calibri" w:hAnsi="Arial" w:cs="Arial"/>
          <w:b/>
          <w:bCs/>
          <w:sz w:val="24"/>
        </w:rPr>
        <w:t>Discussion on mobility requirements for IoT NTN enhancements</w:t>
      </w:r>
    </w:p>
    <w:p w14:paraId="0FFB73EB" w14:textId="34D01CFC" w:rsidR="00841BCD" w:rsidRPr="006974DA" w:rsidRDefault="00841BCD" w:rsidP="00841BCD">
      <w:pPr>
        <w:tabs>
          <w:tab w:val="left" w:pos="1985"/>
        </w:tabs>
        <w:spacing w:after="120" w:line="240" w:lineRule="auto"/>
        <w:rPr>
          <w:rFonts w:ascii="Arial" w:eastAsia="MS Mincho" w:hAnsi="Arial" w:cs="Arial"/>
          <w:b/>
          <w:bCs/>
          <w:sz w:val="24"/>
          <w:szCs w:val="20"/>
          <w:lang w:val="pt-BR"/>
        </w:rPr>
      </w:pPr>
      <w:r w:rsidRPr="006974DA">
        <w:rPr>
          <w:rFonts w:ascii="Arial" w:eastAsia="MS Mincho" w:hAnsi="Arial" w:cs="Arial"/>
          <w:b/>
          <w:bCs/>
          <w:sz w:val="24"/>
          <w:szCs w:val="20"/>
          <w:lang w:val="pt-BR"/>
        </w:rPr>
        <w:t>Agenda item:</w:t>
      </w:r>
      <w:r w:rsidRPr="006974DA">
        <w:rPr>
          <w:rFonts w:ascii="Arial" w:eastAsia="MS Mincho" w:hAnsi="Arial" w:cs="Arial"/>
          <w:b/>
          <w:bCs/>
          <w:sz w:val="24"/>
          <w:szCs w:val="20"/>
          <w:lang w:val="pt-BR"/>
        </w:rPr>
        <w:tab/>
      </w:r>
      <w:r w:rsidR="00C201B6">
        <w:rPr>
          <w:rFonts w:ascii="Arial" w:eastAsia="MS Mincho" w:hAnsi="Arial" w:cs="Arial"/>
          <w:b/>
          <w:bCs/>
          <w:sz w:val="24"/>
          <w:szCs w:val="20"/>
          <w:lang w:val="pt-BR"/>
        </w:rPr>
        <w:t>9</w:t>
      </w:r>
      <w:r w:rsidR="006974DA">
        <w:rPr>
          <w:rFonts w:ascii="Arial" w:eastAsia="MS Mincho" w:hAnsi="Arial" w:cs="Arial"/>
          <w:b/>
          <w:bCs/>
          <w:sz w:val="24"/>
          <w:szCs w:val="20"/>
          <w:lang w:val="pt-BR"/>
        </w:rPr>
        <w:t>.6.4</w:t>
      </w:r>
    </w:p>
    <w:p w14:paraId="3C9AC9D3"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93D7A1F" w14:textId="77777777" w:rsidR="00E323E9" w:rsidRPr="008C39F7" w:rsidRDefault="00E323E9" w:rsidP="00841BCD">
      <w:pPr>
        <w:tabs>
          <w:tab w:val="left" w:pos="1985"/>
        </w:tabs>
        <w:rPr>
          <w:rFonts w:ascii="Arial" w:eastAsia="Calibri" w:hAnsi="Arial" w:cs="Arial"/>
          <w:b/>
          <w:bCs/>
          <w:sz w:val="24"/>
        </w:rPr>
      </w:pPr>
    </w:p>
    <w:p w14:paraId="6682C243" w14:textId="77777777" w:rsidR="00841BCD" w:rsidRPr="008C39F7" w:rsidRDefault="00841BCD" w:rsidP="00A37002">
      <w:pPr>
        <w:pStyle w:val="RAN4H1"/>
      </w:pPr>
      <w:bookmarkStart w:id="2" w:name="_Toc116995841"/>
      <w:r w:rsidRPr="008C39F7">
        <w:t>Intro</w:t>
      </w:r>
      <w:r w:rsidRPr="008C39F7">
        <w:rPr>
          <w:rStyle w:val="RAN4H1Char"/>
          <w:lang w:val="en-US"/>
        </w:rPr>
        <w:t>ductio</w:t>
      </w:r>
      <w:r w:rsidRPr="008C39F7">
        <w:t>n</w:t>
      </w:r>
      <w:bookmarkEnd w:id="2"/>
    </w:p>
    <w:p w14:paraId="4A129BC4" w14:textId="7007A8C2" w:rsidR="00A520D9" w:rsidRPr="008C39F7" w:rsidRDefault="00AF1CAB" w:rsidP="005C23A4">
      <w:r w:rsidRPr="00AF1CAB">
        <w:t>In Rel-17, support for NB-IoT and eMTC over NTN was studied in [1] and defined in RAN1, RAN2, and RAN3 under the Work Item described in [2].  For continuing the work, a WI for enhanced NB-IoT/eMTC operation in NTN was also approved [3]. The discussions on this WI were started in RAN4 #</w:t>
      </w:r>
      <w:r>
        <w:t>10</w:t>
      </w:r>
      <w:r w:rsidR="00005A43">
        <w:t>8</w:t>
      </w:r>
      <w:r w:rsidRPr="00AF1CAB">
        <w:t xml:space="preserve"> and the way forward was captured in [4]. </w:t>
      </w:r>
      <w:r w:rsidR="003D0630">
        <w:t xml:space="preserve"> Further agreements were reached in RAN4#108-bis, whose WF is provided in </w:t>
      </w:r>
      <w:r w:rsidR="003D0630">
        <w:fldChar w:fldCharType="begin"/>
      </w:r>
      <w:r w:rsidR="003D0630">
        <w:instrText xml:space="preserve"> REF _Ref149636896 \r \h </w:instrText>
      </w:r>
      <w:r w:rsidR="003D0630">
        <w:fldChar w:fldCharType="separate"/>
      </w:r>
      <w:r w:rsidR="003D0630">
        <w:t>[5]</w:t>
      </w:r>
      <w:r w:rsidR="003D0630">
        <w:fldChar w:fldCharType="end"/>
      </w:r>
      <w:r w:rsidR="003D0630">
        <w:t xml:space="preserve">, </w:t>
      </w:r>
      <w:r w:rsidRPr="00AF1CAB">
        <w:t>This contribution aims at discussing the requirements for some of the</w:t>
      </w:r>
      <w:r w:rsidR="003D0630">
        <w:t xml:space="preserve"> core features of this WI as well as addressing some open issues from previous meetings. </w:t>
      </w:r>
    </w:p>
    <w:p w14:paraId="46EE79CE" w14:textId="77777777" w:rsidR="0060543D" w:rsidRPr="008C39F7" w:rsidRDefault="0060543D" w:rsidP="005C23A4"/>
    <w:p w14:paraId="45C3B83D" w14:textId="77777777" w:rsidR="003B659E" w:rsidRPr="008C39F7" w:rsidRDefault="003B659E" w:rsidP="00AE56B1">
      <w:pPr>
        <w:pStyle w:val="RAN4H1"/>
      </w:pPr>
      <w:bookmarkStart w:id="3" w:name="_Toc116995842"/>
      <w:r w:rsidRPr="008C39F7">
        <w:t>Discussion</w:t>
      </w:r>
      <w:bookmarkEnd w:id="3"/>
    </w:p>
    <w:p w14:paraId="01AF7031" w14:textId="77777777" w:rsidR="00847264" w:rsidRPr="008C39F7" w:rsidRDefault="00847264" w:rsidP="00300956"/>
    <w:p w14:paraId="426FAD31" w14:textId="0E796DFF" w:rsidR="00CB22B2" w:rsidRDefault="00005A43" w:rsidP="00496606">
      <w:pPr>
        <w:pStyle w:val="RAN4H2"/>
      </w:pPr>
      <w:r>
        <w:t>Idle Mode Measurements</w:t>
      </w:r>
    </w:p>
    <w:p w14:paraId="6C3585B3" w14:textId="77777777" w:rsidR="0086633A" w:rsidRPr="0086633A" w:rsidRDefault="0086633A" w:rsidP="0086633A"/>
    <w:p w14:paraId="288582F4" w14:textId="33F4D440" w:rsidR="0086633A" w:rsidRDefault="0086633A" w:rsidP="0086633A">
      <w:pPr>
        <w:pStyle w:val="RAN4H3"/>
      </w:pPr>
      <w:r>
        <w:t>Clarification on</w:t>
      </w:r>
      <w:r w:rsidR="00C207C1">
        <w:t xml:space="preserve"> the applicability of </w:t>
      </w:r>
      <w:proofErr w:type="spellStart"/>
      <w:r w:rsidR="00C207C1">
        <w:t>K</w:t>
      </w:r>
      <w:r w:rsidR="00C207C1" w:rsidRPr="00C207C1">
        <w:rPr>
          <w:vertAlign w:val="subscript"/>
        </w:rPr>
        <w:t>satellite</w:t>
      </w:r>
      <w:proofErr w:type="spellEnd"/>
      <w:r w:rsidR="00C207C1">
        <w:t xml:space="preserve"> when multiple satellites are configured for measurements.</w:t>
      </w:r>
    </w:p>
    <w:p w14:paraId="258AACD3" w14:textId="7CCE2B14" w:rsidR="00271D75" w:rsidRDefault="00271D75" w:rsidP="006741A7">
      <w:r>
        <w:t xml:space="preserve">In the previous meeting, RAN4 has agreed on discuss the clarifications for the </w:t>
      </w:r>
      <w:proofErr w:type="spellStart"/>
      <w:r>
        <w:t>K</w:t>
      </w:r>
      <w:r w:rsidRPr="006741A7">
        <w:t>satellite</w:t>
      </w:r>
      <w:proofErr w:type="spellEnd"/>
      <w:r w:rsidRPr="006741A7">
        <w:t xml:space="preserve"> </w:t>
      </w:r>
      <w:r>
        <w:t>factor.</w:t>
      </w:r>
    </w:p>
    <w:tbl>
      <w:tblPr>
        <w:tblStyle w:val="TableGrid"/>
        <w:tblW w:w="0" w:type="auto"/>
        <w:tblLook w:val="04A0" w:firstRow="1" w:lastRow="0" w:firstColumn="1" w:lastColumn="0" w:noHBand="0" w:noVBand="1"/>
      </w:tblPr>
      <w:tblGrid>
        <w:gridCol w:w="9617"/>
      </w:tblGrid>
      <w:tr w:rsidR="00271D75" w14:paraId="447A7795" w14:textId="77777777" w:rsidTr="00271D75">
        <w:tc>
          <w:tcPr>
            <w:tcW w:w="9617" w:type="dxa"/>
          </w:tcPr>
          <w:p w14:paraId="7B00FAC3" w14:textId="77777777" w:rsidR="00C207C1" w:rsidRPr="00CB67E5" w:rsidRDefault="00C207C1" w:rsidP="00C207C1">
            <w:pPr>
              <w:overflowPunct w:val="0"/>
              <w:autoSpaceDE w:val="0"/>
              <w:autoSpaceDN w:val="0"/>
              <w:adjustRightInd w:val="0"/>
              <w:textAlignment w:val="baseline"/>
              <w:rPr>
                <w:sz w:val="21"/>
                <w:szCs w:val="21"/>
                <w:lang w:eastAsia="zh-CN"/>
              </w:rPr>
            </w:pPr>
            <w:r w:rsidRPr="00CB67E5">
              <w:rPr>
                <w:rFonts w:hint="eastAsia"/>
                <w:sz w:val="21"/>
                <w:szCs w:val="21"/>
                <w:lang w:eastAsia="zh-CN"/>
              </w:rPr>
              <w:t>A</w:t>
            </w:r>
            <w:r w:rsidRPr="00CB67E5">
              <w:rPr>
                <w:sz w:val="21"/>
                <w:szCs w:val="21"/>
                <w:lang w:eastAsia="zh-CN"/>
              </w:rPr>
              <w:t xml:space="preserve">greement: </w:t>
            </w:r>
          </w:p>
          <w:p w14:paraId="6FA0FA41" w14:textId="77777777" w:rsidR="00C207C1" w:rsidRPr="00CB67E5" w:rsidRDefault="00C207C1" w:rsidP="00C207C1">
            <w:pPr>
              <w:pStyle w:val="ListParagraph"/>
              <w:numPr>
                <w:ilvl w:val="0"/>
                <w:numId w:val="39"/>
              </w:numPr>
              <w:overflowPunct w:val="0"/>
              <w:autoSpaceDE w:val="0"/>
              <w:autoSpaceDN w:val="0"/>
              <w:adjustRightInd w:val="0"/>
              <w:spacing w:after="180"/>
              <w:contextualSpacing w:val="0"/>
              <w:textAlignment w:val="baseline"/>
              <w:rPr>
                <w:bCs/>
              </w:rPr>
            </w:pPr>
            <w:r w:rsidRPr="00CB67E5">
              <w:rPr>
                <w:rFonts w:hint="eastAsia"/>
                <w:bCs/>
              </w:rPr>
              <w:t xml:space="preserve">For </w:t>
            </w:r>
            <w:r w:rsidRPr="00CB67E5">
              <w:rPr>
                <w:bCs/>
              </w:rPr>
              <w:t xml:space="preserve">Idle mode, each </w:t>
            </w:r>
            <w:r w:rsidRPr="00CB67E5">
              <w:rPr>
                <w:rFonts w:hint="eastAsia"/>
                <w:bCs/>
              </w:rPr>
              <w:t>frequency carrier</w:t>
            </w:r>
          </w:p>
          <w:p w14:paraId="0DAD93B7" w14:textId="77777777" w:rsidR="00C207C1" w:rsidRPr="00CB67E5" w:rsidRDefault="00C207C1" w:rsidP="00C207C1">
            <w:pPr>
              <w:pStyle w:val="ListParagraph"/>
              <w:numPr>
                <w:ilvl w:val="1"/>
                <w:numId w:val="39"/>
              </w:numPr>
              <w:overflowPunct w:val="0"/>
              <w:autoSpaceDE w:val="0"/>
              <w:autoSpaceDN w:val="0"/>
              <w:adjustRightInd w:val="0"/>
              <w:spacing w:after="180"/>
              <w:contextualSpacing w:val="0"/>
              <w:textAlignment w:val="baseline"/>
              <w:rPr>
                <w:bCs/>
              </w:rPr>
            </w:pPr>
            <w:proofErr w:type="spellStart"/>
            <w:r w:rsidRPr="00CB67E5">
              <w:rPr>
                <w:rFonts w:hint="eastAsia"/>
              </w:rPr>
              <w:t>K</w:t>
            </w:r>
            <w:r w:rsidRPr="00CB67E5">
              <w:rPr>
                <w:rFonts w:hint="eastAsia"/>
                <w:vertAlign w:val="subscript"/>
              </w:rPr>
              <w:t>satellite</w:t>
            </w:r>
            <w:proofErr w:type="spellEnd"/>
            <w:r w:rsidRPr="00CB67E5">
              <w:rPr>
                <w:rFonts w:hint="eastAsia"/>
                <w:bCs/>
                <w:lang w:eastAsia="zh-CN"/>
              </w:rPr>
              <w:t xml:space="preserve"> </w:t>
            </w:r>
            <w:r w:rsidRPr="00CB67E5">
              <w:rPr>
                <w:bCs/>
                <w:lang w:eastAsia="zh-CN"/>
              </w:rPr>
              <w:t xml:space="preserve">=2, </w:t>
            </w:r>
            <w:r w:rsidRPr="00CB67E5">
              <w:rPr>
                <w:rFonts w:hint="eastAsia"/>
                <w:bCs/>
                <w:lang w:eastAsia="zh-CN"/>
              </w:rPr>
              <w:t xml:space="preserve">if </w:t>
            </w:r>
            <w:r w:rsidRPr="00CB67E5">
              <w:rPr>
                <w:bCs/>
                <w:lang w:eastAsia="zh-CN"/>
              </w:rPr>
              <w:t>there are at least two</w:t>
            </w:r>
            <w:r w:rsidRPr="00CB67E5">
              <w:rPr>
                <w:rFonts w:hint="eastAsia"/>
                <w:bCs/>
                <w:lang w:eastAsia="zh-CN"/>
              </w:rPr>
              <w:t xml:space="preserve"> </w:t>
            </w:r>
            <w:r w:rsidRPr="00CB67E5">
              <w:rPr>
                <w:bCs/>
                <w:lang w:eastAsia="zh-CN"/>
              </w:rPr>
              <w:t xml:space="preserve">NGSO </w:t>
            </w:r>
            <w:r w:rsidRPr="00CB67E5">
              <w:rPr>
                <w:rFonts w:hint="eastAsia"/>
                <w:bCs/>
                <w:lang w:eastAsia="zh-CN"/>
              </w:rPr>
              <w:t xml:space="preserve">satellites (including UE serving satellite) </w:t>
            </w:r>
            <w:r w:rsidRPr="00CB67E5">
              <w:rPr>
                <w:bCs/>
                <w:lang w:eastAsia="zh-CN"/>
              </w:rPr>
              <w:t>to be</w:t>
            </w:r>
            <w:r w:rsidRPr="00CB67E5">
              <w:rPr>
                <w:rFonts w:hint="eastAsia"/>
                <w:bCs/>
                <w:lang w:eastAsia="zh-CN"/>
              </w:rPr>
              <w:t xml:space="preserve"> monitored by UE </w:t>
            </w:r>
            <w:r w:rsidRPr="00CB67E5">
              <w:t>in this frequency carrier</w:t>
            </w:r>
          </w:p>
          <w:p w14:paraId="57088FF2" w14:textId="77777777" w:rsidR="00C207C1" w:rsidRPr="00CB67E5" w:rsidRDefault="00C207C1" w:rsidP="00C207C1">
            <w:pPr>
              <w:pStyle w:val="ListParagraph"/>
              <w:numPr>
                <w:ilvl w:val="1"/>
                <w:numId w:val="39"/>
              </w:numPr>
              <w:overflowPunct w:val="0"/>
              <w:autoSpaceDE w:val="0"/>
              <w:autoSpaceDN w:val="0"/>
              <w:adjustRightInd w:val="0"/>
              <w:spacing w:after="180"/>
              <w:contextualSpacing w:val="0"/>
              <w:textAlignment w:val="baseline"/>
              <w:rPr>
                <w:bCs/>
                <w:lang w:eastAsia="zh-CN"/>
              </w:rPr>
            </w:pPr>
            <w:proofErr w:type="spellStart"/>
            <w:r w:rsidRPr="00CB67E5">
              <w:rPr>
                <w:rFonts w:hint="eastAsia"/>
              </w:rPr>
              <w:t>K</w:t>
            </w:r>
            <w:r w:rsidRPr="00CB67E5">
              <w:rPr>
                <w:rFonts w:hint="eastAsia"/>
                <w:vertAlign w:val="subscript"/>
              </w:rPr>
              <w:t>satellite</w:t>
            </w:r>
            <w:proofErr w:type="spellEnd"/>
            <w:r w:rsidRPr="00CB67E5">
              <w:rPr>
                <w:rFonts w:hint="eastAsia"/>
                <w:bCs/>
                <w:lang w:eastAsia="zh-CN"/>
              </w:rPr>
              <w:t xml:space="preserve"> </w:t>
            </w:r>
            <w:r w:rsidRPr="00CB67E5">
              <w:rPr>
                <w:bCs/>
                <w:lang w:eastAsia="zh-CN"/>
              </w:rPr>
              <w:t>=</w:t>
            </w:r>
            <w:proofErr w:type="gramStart"/>
            <w:r w:rsidRPr="00CB67E5">
              <w:rPr>
                <w:bCs/>
                <w:lang w:eastAsia="zh-CN"/>
              </w:rPr>
              <w:t>1, if</w:t>
            </w:r>
            <w:proofErr w:type="gramEnd"/>
            <w:r w:rsidRPr="00CB67E5">
              <w:rPr>
                <w:bCs/>
                <w:lang w:eastAsia="zh-CN"/>
              </w:rPr>
              <w:t xml:space="preserve"> there is only one NGSO satellite to be monitored in this frequency carrier</w:t>
            </w:r>
          </w:p>
          <w:p w14:paraId="7E872727" w14:textId="77777777" w:rsidR="00C207C1" w:rsidRPr="00CB67E5" w:rsidRDefault="00C207C1" w:rsidP="00C207C1">
            <w:pPr>
              <w:pStyle w:val="ListParagraph"/>
              <w:numPr>
                <w:ilvl w:val="0"/>
                <w:numId w:val="39"/>
              </w:numPr>
              <w:overflowPunct w:val="0"/>
              <w:autoSpaceDE w:val="0"/>
              <w:autoSpaceDN w:val="0"/>
              <w:adjustRightInd w:val="0"/>
              <w:spacing w:after="180"/>
              <w:contextualSpacing w:val="0"/>
              <w:textAlignment w:val="baseline"/>
              <w:rPr>
                <w:bCs/>
              </w:rPr>
            </w:pPr>
            <w:r w:rsidRPr="00CB67E5">
              <w:rPr>
                <w:rFonts w:hint="eastAsia"/>
                <w:bCs/>
              </w:rPr>
              <w:t xml:space="preserve">For </w:t>
            </w:r>
            <w:r w:rsidRPr="00CB67E5">
              <w:rPr>
                <w:bCs/>
              </w:rPr>
              <w:t xml:space="preserve">Connected mode, each </w:t>
            </w:r>
            <w:r w:rsidRPr="00CB67E5">
              <w:rPr>
                <w:rFonts w:hint="eastAsia"/>
                <w:bCs/>
              </w:rPr>
              <w:t>frequency carrier</w:t>
            </w:r>
          </w:p>
          <w:p w14:paraId="21F6071E" w14:textId="77777777" w:rsidR="00C207C1" w:rsidRPr="00CB67E5" w:rsidRDefault="00C207C1" w:rsidP="00C207C1">
            <w:pPr>
              <w:pStyle w:val="ListParagraph"/>
              <w:numPr>
                <w:ilvl w:val="1"/>
                <w:numId w:val="39"/>
              </w:numPr>
              <w:overflowPunct w:val="0"/>
              <w:autoSpaceDE w:val="0"/>
              <w:autoSpaceDN w:val="0"/>
              <w:adjustRightInd w:val="0"/>
              <w:spacing w:after="180"/>
              <w:contextualSpacing w:val="0"/>
              <w:textAlignment w:val="baseline"/>
              <w:rPr>
                <w:bCs/>
              </w:rPr>
            </w:pPr>
            <w:proofErr w:type="spellStart"/>
            <w:r w:rsidRPr="00CB67E5">
              <w:rPr>
                <w:rFonts w:hint="eastAsia"/>
              </w:rPr>
              <w:t>K</w:t>
            </w:r>
            <w:r w:rsidRPr="00CB67E5">
              <w:rPr>
                <w:rFonts w:hint="eastAsia"/>
                <w:vertAlign w:val="subscript"/>
              </w:rPr>
              <w:t>satellite</w:t>
            </w:r>
            <w:proofErr w:type="spellEnd"/>
            <w:r w:rsidRPr="00CB67E5">
              <w:rPr>
                <w:rFonts w:hint="eastAsia"/>
                <w:bCs/>
                <w:lang w:eastAsia="zh-CN"/>
              </w:rPr>
              <w:t xml:space="preserve"> </w:t>
            </w:r>
            <w:r w:rsidRPr="00CB67E5">
              <w:rPr>
                <w:bCs/>
                <w:lang w:eastAsia="zh-CN"/>
              </w:rPr>
              <w:t xml:space="preserve">=2, </w:t>
            </w:r>
            <w:r w:rsidRPr="00CB67E5">
              <w:rPr>
                <w:rFonts w:hint="eastAsia"/>
                <w:bCs/>
                <w:lang w:eastAsia="zh-CN"/>
              </w:rPr>
              <w:t xml:space="preserve">if </w:t>
            </w:r>
            <w:r w:rsidRPr="00CB67E5">
              <w:rPr>
                <w:bCs/>
                <w:lang w:eastAsia="zh-CN"/>
              </w:rPr>
              <w:t xml:space="preserve">there are </w:t>
            </w:r>
            <w:r w:rsidRPr="00CB67E5">
              <w:rPr>
                <w:bCs/>
                <w:strike/>
                <w:lang w:eastAsia="zh-CN"/>
              </w:rPr>
              <w:t>at least</w:t>
            </w:r>
            <w:r w:rsidRPr="00CB67E5">
              <w:rPr>
                <w:bCs/>
                <w:lang w:eastAsia="zh-CN"/>
              </w:rPr>
              <w:t xml:space="preserve"> two</w:t>
            </w:r>
            <w:r w:rsidRPr="00CB67E5">
              <w:rPr>
                <w:rFonts w:hint="eastAsia"/>
                <w:bCs/>
                <w:lang w:eastAsia="zh-CN"/>
              </w:rPr>
              <w:t xml:space="preserve"> </w:t>
            </w:r>
            <w:r w:rsidRPr="00CB67E5">
              <w:rPr>
                <w:bCs/>
                <w:lang w:eastAsia="zh-CN"/>
              </w:rPr>
              <w:t xml:space="preserve">NGSO </w:t>
            </w:r>
            <w:r w:rsidRPr="00CB67E5">
              <w:rPr>
                <w:rFonts w:hint="eastAsia"/>
                <w:bCs/>
                <w:lang w:eastAsia="zh-CN"/>
              </w:rPr>
              <w:t xml:space="preserve">satellites (including UE serving satellite) </w:t>
            </w:r>
            <w:r w:rsidRPr="00CB67E5">
              <w:rPr>
                <w:bCs/>
                <w:lang w:eastAsia="zh-CN"/>
              </w:rPr>
              <w:t>to be</w:t>
            </w:r>
            <w:r w:rsidRPr="00CB67E5">
              <w:rPr>
                <w:rFonts w:hint="eastAsia"/>
                <w:bCs/>
                <w:lang w:eastAsia="zh-CN"/>
              </w:rPr>
              <w:t xml:space="preserve"> monitored by UE </w:t>
            </w:r>
            <w:r w:rsidRPr="00CB67E5">
              <w:t>in this frequency carrier</w:t>
            </w:r>
          </w:p>
          <w:p w14:paraId="767BDECA" w14:textId="77777777" w:rsidR="00C207C1" w:rsidRPr="00CB67E5" w:rsidRDefault="00C207C1" w:rsidP="00C207C1">
            <w:pPr>
              <w:pStyle w:val="ListParagraph"/>
              <w:numPr>
                <w:ilvl w:val="1"/>
                <w:numId w:val="39"/>
              </w:numPr>
              <w:overflowPunct w:val="0"/>
              <w:autoSpaceDE w:val="0"/>
              <w:autoSpaceDN w:val="0"/>
              <w:adjustRightInd w:val="0"/>
              <w:spacing w:after="180"/>
              <w:contextualSpacing w:val="0"/>
              <w:textAlignment w:val="baseline"/>
              <w:rPr>
                <w:bCs/>
                <w:lang w:eastAsia="zh-CN"/>
              </w:rPr>
            </w:pPr>
            <w:proofErr w:type="spellStart"/>
            <w:r w:rsidRPr="00CB67E5">
              <w:rPr>
                <w:rFonts w:hint="eastAsia"/>
              </w:rPr>
              <w:t>K</w:t>
            </w:r>
            <w:r w:rsidRPr="00CB67E5">
              <w:rPr>
                <w:rFonts w:hint="eastAsia"/>
                <w:vertAlign w:val="subscript"/>
              </w:rPr>
              <w:t>satellite</w:t>
            </w:r>
            <w:proofErr w:type="spellEnd"/>
            <w:r w:rsidRPr="00CB67E5">
              <w:rPr>
                <w:rFonts w:hint="eastAsia"/>
                <w:bCs/>
                <w:lang w:eastAsia="zh-CN"/>
              </w:rPr>
              <w:t xml:space="preserve"> </w:t>
            </w:r>
            <w:r w:rsidRPr="00CB67E5">
              <w:rPr>
                <w:bCs/>
                <w:lang w:eastAsia="zh-CN"/>
              </w:rPr>
              <w:t>=</w:t>
            </w:r>
            <w:proofErr w:type="gramStart"/>
            <w:r w:rsidRPr="00CB67E5">
              <w:rPr>
                <w:bCs/>
                <w:lang w:eastAsia="zh-CN"/>
              </w:rPr>
              <w:t>1, if</w:t>
            </w:r>
            <w:proofErr w:type="gramEnd"/>
            <w:r w:rsidRPr="00CB67E5">
              <w:rPr>
                <w:bCs/>
                <w:lang w:eastAsia="zh-CN"/>
              </w:rPr>
              <w:t xml:space="preserve"> there is only one NGSO satellite to be monitored in this frequency carrier</w:t>
            </w:r>
          </w:p>
          <w:p w14:paraId="2F03EBD1" w14:textId="77777777" w:rsidR="00271D75" w:rsidRDefault="00271D75" w:rsidP="00271D75">
            <w:pPr>
              <w:pStyle w:val="RAN4H3"/>
              <w:numPr>
                <w:ilvl w:val="0"/>
                <w:numId w:val="0"/>
              </w:numPr>
            </w:pPr>
          </w:p>
        </w:tc>
      </w:tr>
    </w:tbl>
    <w:p w14:paraId="17CEDA46" w14:textId="77777777" w:rsidR="00271D75" w:rsidRPr="006974DA" w:rsidRDefault="00271D75" w:rsidP="00271D75">
      <w:pPr>
        <w:pStyle w:val="RAN4H3"/>
        <w:numPr>
          <w:ilvl w:val="0"/>
          <w:numId w:val="0"/>
        </w:numPr>
      </w:pPr>
    </w:p>
    <w:p w14:paraId="79138D90" w14:textId="4EAC7672" w:rsidR="00EC7EB5" w:rsidRDefault="00397D35" w:rsidP="005C23A4">
      <w:r>
        <w:t xml:space="preserve">The </w:t>
      </w:r>
      <w:proofErr w:type="spellStart"/>
      <w:r>
        <w:t>Ksatellite</w:t>
      </w:r>
      <w:proofErr w:type="spellEnd"/>
      <w:r>
        <w:t xml:space="preserve"> factor is used to scale the measurement requirements, accounting for the number of satellites the UE effectively </w:t>
      </w:r>
      <w:proofErr w:type="gramStart"/>
      <w:r>
        <w:t>has to</w:t>
      </w:r>
      <w:proofErr w:type="gramEnd"/>
      <w:r>
        <w:t xml:space="preserve"> </w:t>
      </w:r>
      <w:r w:rsidR="008E15B4">
        <w:t>monitor</w:t>
      </w:r>
      <w:r>
        <w:t xml:space="preserve">. That depends on the number of configured satellites, the UE </w:t>
      </w:r>
      <w:proofErr w:type="gramStart"/>
      <w:r>
        <w:t>capabilities</w:t>
      </w:r>
      <w:proofErr w:type="gramEnd"/>
      <w:r>
        <w:t xml:space="preserve"> and the </w:t>
      </w:r>
      <w:r w:rsidR="00707313">
        <w:t>availability of neighbor satellites</w:t>
      </w:r>
      <w:r w:rsidR="006A34E8">
        <w:t>:</w:t>
      </w:r>
    </w:p>
    <w:p w14:paraId="177576A1" w14:textId="77777777" w:rsidR="006A34E8" w:rsidRDefault="006A34E8" w:rsidP="009B17A2">
      <w:pPr>
        <w:pStyle w:val="ListParagraph"/>
        <w:numPr>
          <w:ilvl w:val="0"/>
          <w:numId w:val="38"/>
        </w:numPr>
      </w:pPr>
      <w:r>
        <w:t xml:space="preserve">If the UE is not configured to measure more than one satellite, or if there is not more than one satellite available, </w:t>
      </w:r>
      <w:proofErr w:type="spellStart"/>
      <w:r>
        <w:t>K</w:t>
      </w:r>
      <w:r w:rsidRPr="00E37A61">
        <w:rPr>
          <w:vertAlign w:val="subscript"/>
        </w:rPr>
        <w:t>satellite</w:t>
      </w:r>
      <w:proofErr w:type="spellEnd"/>
      <w:r>
        <w:t xml:space="preserve"> must be equal to 1. </w:t>
      </w:r>
    </w:p>
    <w:p w14:paraId="1054BB1C" w14:textId="77777777" w:rsidR="006A34E8" w:rsidRDefault="006A34E8" w:rsidP="009B17A2">
      <w:pPr>
        <w:pStyle w:val="ListParagraph"/>
        <w:numPr>
          <w:ilvl w:val="0"/>
          <w:numId w:val="38"/>
        </w:numPr>
      </w:pPr>
      <w:r>
        <w:lastRenderedPageBreak/>
        <w:t xml:space="preserve">In default scenarios, where there is one neighbor satellite configured for measurements plus the serving satellite, </w:t>
      </w:r>
      <w:proofErr w:type="spellStart"/>
      <w:r>
        <w:t>K</w:t>
      </w:r>
      <w:r w:rsidRPr="00E37A61">
        <w:rPr>
          <w:vertAlign w:val="subscript"/>
        </w:rPr>
        <w:t>satellite</w:t>
      </w:r>
      <w:proofErr w:type="spellEnd"/>
      <w:r>
        <w:t xml:space="preserve"> must be equal to 2.</w:t>
      </w:r>
    </w:p>
    <w:p w14:paraId="1D9AD2A1" w14:textId="77777777" w:rsidR="006A34E8" w:rsidRDefault="006A34E8" w:rsidP="009B17A2">
      <w:pPr>
        <w:pStyle w:val="ListParagraph"/>
        <w:numPr>
          <w:ilvl w:val="0"/>
          <w:numId w:val="38"/>
        </w:numPr>
      </w:pPr>
      <w:r>
        <w:t xml:space="preserve">If a UE has the capability to measure more than 2 satellites and </w:t>
      </w:r>
      <w:r w:rsidRPr="009579DD">
        <w:rPr>
          <w:b/>
          <w:bCs/>
        </w:rPr>
        <w:t>more than one neighbor</w:t>
      </w:r>
      <w:r>
        <w:t xml:space="preserve"> satellite is configured by the network, then </w:t>
      </w:r>
      <w:proofErr w:type="spellStart"/>
      <w:r>
        <w:t>K_satellite</w:t>
      </w:r>
      <w:proofErr w:type="spellEnd"/>
      <w:r>
        <w:t xml:space="preserve"> is equal to the number of satellites configured for measurement (and available) or the number of satellites the UE is capable of monitoring, whichever is lower. </w:t>
      </w:r>
    </w:p>
    <w:p w14:paraId="037A6B82" w14:textId="77777777" w:rsidR="00B02878" w:rsidRDefault="00B02878" w:rsidP="00271D75"/>
    <w:p w14:paraId="1D91BB91" w14:textId="62E4ED8F" w:rsidR="00271D75" w:rsidRDefault="00271D75" w:rsidP="00271D75">
      <w:r>
        <w:t>However, based on “c” above, multiple satellites might be configured for neighbor cell measurements by the serving cell, in this case, the requirements, in each frequency, will only apply for one set of cells belonging to the same satellite.  It is important that in such scenarios it is clear to both, UE and network, which subset of satellites are to be measured by the UE.  One possible way to achieve that is to indicate intrinsic priorities to each satellite for load balancing purpose in addition to legacy cell and frequency priorities:</w:t>
      </w:r>
    </w:p>
    <w:p w14:paraId="7AD564A4" w14:textId="144B8ECD" w:rsidR="00271D75" w:rsidRDefault="00271D75" w:rsidP="00271D75">
      <w:pPr>
        <w:pStyle w:val="RAN4proposal"/>
      </w:pPr>
      <w:bookmarkStart w:id="4" w:name="_Toc149938141"/>
      <w:r>
        <w:t xml:space="preserve">When more than 2 satellites are available for measurement </w:t>
      </w:r>
      <w:proofErr w:type="gramStart"/>
      <w:r>
        <w:t>in a given</w:t>
      </w:r>
      <w:proofErr w:type="gramEnd"/>
      <w:r>
        <w:t xml:space="preserve"> frequency layer, the requirements apply for the two satellites with highest priority in a given frequency layer, where the priorities might be given by</w:t>
      </w:r>
      <w:bookmarkEnd w:id="4"/>
    </w:p>
    <w:p w14:paraId="3AC67141" w14:textId="28676950" w:rsidR="00271D75" w:rsidRDefault="00271D75" w:rsidP="00271D75">
      <w:pPr>
        <w:pStyle w:val="RAN4proposal"/>
        <w:numPr>
          <w:ilvl w:val="1"/>
          <w:numId w:val="7"/>
        </w:numPr>
      </w:pPr>
      <w:bookmarkStart w:id="5" w:name="_Toc149938142"/>
      <w:r>
        <w:t xml:space="preserve">Send an LS to RAN2 to provide </w:t>
      </w:r>
      <w:proofErr w:type="spellStart"/>
      <w:r>
        <w:t>neighbbor</w:t>
      </w:r>
      <w:proofErr w:type="spellEnd"/>
      <w:r>
        <w:t xml:space="preserve"> cell priorities when more than 2 cells are configured for </w:t>
      </w:r>
      <w:proofErr w:type="gramStart"/>
      <w:r>
        <w:t>measurements;</w:t>
      </w:r>
      <w:proofErr w:type="gramEnd"/>
      <w:r>
        <w:t xml:space="preserve"> or</w:t>
      </w:r>
      <w:bookmarkEnd w:id="5"/>
    </w:p>
    <w:p w14:paraId="39E52F0B" w14:textId="3399990A" w:rsidR="00271D75" w:rsidRPr="00271D75" w:rsidRDefault="00271D75" w:rsidP="00271D75">
      <w:pPr>
        <w:pStyle w:val="RAN4proposal"/>
        <w:numPr>
          <w:ilvl w:val="1"/>
          <w:numId w:val="7"/>
        </w:numPr>
      </w:pPr>
      <w:bookmarkStart w:id="6" w:name="_Toc149938143"/>
      <w:r>
        <w:t xml:space="preserve">Assume implicit priorities based on the order of </w:t>
      </w:r>
      <w:proofErr w:type="gramStart"/>
      <w:r>
        <w:t>configuration</w:t>
      </w:r>
      <w:bookmarkEnd w:id="6"/>
      <w:proofErr w:type="gramEnd"/>
    </w:p>
    <w:p w14:paraId="6782E5E8" w14:textId="77777777" w:rsidR="00271D75" w:rsidRDefault="00271D75" w:rsidP="00271D75"/>
    <w:p w14:paraId="23BAD8B7" w14:textId="12BC882A" w:rsidR="00271D75" w:rsidRDefault="00271D75" w:rsidP="00271D75">
      <w:r>
        <w:t xml:space="preserve">If no priorities are provided, there might be some ambiguity in the set of satellites to be chosen by the UE. Based on previous RAN4 agreement highlighted before, this may be the case for different frequencies. Assuming that RAN4 agreed that the subset of satellites </w:t>
      </w:r>
      <w:proofErr w:type="gramStart"/>
      <w:r>
        <w:t>are</w:t>
      </w:r>
      <w:proofErr w:type="gramEnd"/>
      <w:r>
        <w:t xml:space="preserve"> not always the same, this can be used to have a </w:t>
      </w:r>
      <w:r w:rsidRPr="007E6B53">
        <w:rPr>
          <w:b/>
          <w:bCs/>
        </w:rPr>
        <w:t>applicability</w:t>
      </w:r>
      <w:r>
        <w:t xml:space="preserve"> of the measurement requirements:</w:t>
      </w:r>
    </w:p>
    <w:p w14:paraId="4B589929" w14:textId="12E45C22" w:rsidR="00271D75" w:rsidRDefault="006741A7" w:rsidP="006741A7">
      <w:pPr>
        <w:pStyle w:val="RAN4proposal"/>
      </w:pPr>
      <w:bookmarkStart w:id="7" w:name="_Toc149938144"/>
      <w:r>
        <w:t xml:space="preserve">RAN4 to discuss whether the availability of high priority frequency layers </w:t>
      </w:r>
      <w:proofErr w:type="gramStart"/>
      <w:r>
        <w:t>in a given</w:t>
      </w:r>
      <w:proofErr w:type="gramEnd"/>
      <w:r>
        <w:t xml:space="preserve"> satellite might be used to decide which satellite to measure in all frequency layers, when there is no difference in priority between the satellites.</w:t>
      </w:r>
      <w:bookmarkEnd w:id="7"/>
      <w:r>
        <w:t xml:space="preserve"> </w:t>
      </w:r>
    </w:p>
    <w:p w14:paraId="55A1A348" w14:textId="77777777" w:rsidR="00103811" w:rsidRDefault="00103811" w:rsidP="005C23A4"/>
    <w:p w14:paraId="189CCFD4" w14:textId="2A380993" w:rsidR="000E34E5" w:rsidRDefault="000E34E5" w:rsidP="000E34E5">
      <w:pPr>
        <w:pStyle w:val="RAN4H3"/>
      </w:pPr>
      <w:r>
        <w:t>Time-based measurement initiation</w:t>
      </w:r>
    </w:p>
    <w:p w14:paraId="5D9E4348" w14:textId="066A2101" w:rsidR="00E46E7F" w:rsidRDefault="00E46E7F" w:rsidP="00777909">
      <w:r>
        <w:t xml:space="preserve">RAN2 has recently decided </w:t>
      </w:r>
      <w:r w:rsidR="008902EB">
        <w:t>to fasten the</w:t>
      </w:r>
      <w:r w:rsidR="002C7487">
        <w:t xml:space="preserve"> procedures for the UE to land on a different cell, when t-service </w:t>
      </w:r>
      <w:proofErr w:type="gramStart"/>
      <w:r w:rsidR="002C7487">
        <w:t>expires</w:t>
      </w:r>
      <w:proofErr w:type="gramEnd"/>
      <w:r w:rsidR="002C7487">
        <w:t xml:space="preserve"> and the current serving cell is not available anymore:</w:t>
      </w:r>
    </w:p>
    <w:tbl>
      <w:tblPr>
        <w:tblStyle w:val="TableGrid"/>
        <w:tblW w:w="0" w:type="auto"/>
        <w:tblLook w:val="04A0" w:firstRow="1" w:lastRow="0" w:firstColumn="1" w:lastColumn="0" w:noHBand="0" w:noVBand="1"/>
      </w:tblPr>
      <w:tblGrid>
        <w:gridCol w:w="9617"/>
      </w:tblGrid>
      <w:tr w:rsidR="002C7487" w14:paraId="3EE1E552" w14:textId="77777777" w:rsidTr="002C7487">
        <w:tc>
          <w:tcPr>
            <w:tcW w:w="9617" w:type="dxa"/>
          </w:tcPr>
          <w:p w14:paraId="218BC7FD" w14:textId="77777777" w:rsidR="006F5E2F" w:rsidRPr="00EC34B5" w:rsidRDefault="006F5E2F" w:rsidP="006F5E2F">
            <w:pPr>
              <w:rPr>
                <w:b/>
                <w:bCs/>
                <w:u w:val="single"/>
              </w:rPr>
            </w:pPr>
            <w:r w:rsidRPr="00EC34B5">
              <w:rPr>
                <w:b/>
                <w:bCs/>
                <w:u w:val="single"/>
              </w:rPr>
              <w:t>Agreements on RAN2 #12</w:t>
            </w:r>
            <w:r>
              <w:rPr>
                <w:b/>
                <w:bCs/>
                <w:u w:val="single"/>
              </w:rPr>
              <w:t>2</w:t>
            </w:r>
          </w:p>
          <w:p w14:paraId="6A4D0E86" w14:textId="77777777" w:rsidR="002C7ED4" w:rsidRDefault="002C7ED4" w:rsidP="002C7ED4">
            <w:r>
              <w:t>2.</w:t>
            </w:r>
            <w:r>
              <w:tab/>
              <w:t>If the serving cell t-service expires, stop T310 (if running) and start T311 (</w:t>
            </w:r>
            <w:proofErr w:type="gramStart"/>
            <w:r>
              <w:t>i.e.</w:t>
            </w:r>
            <w:proofErr w:type="gramEnd"/>
            <w:r>
              <w:t xml:space="preserve"> perform cell search and re-establishment without attempting to recover on the current cell for the duration of T310). FFS on discontinuous </w:t>
            </w:r>
            <w:proofErr w:type="gramStart"/>
            <w:r>
              <w:t>coverage</w:t>
            </w:r>
            <w:proofErr w:type="gramEnd"/>
          </w:p>
          <w:p w14:paraId="5140D2C0" w14:textId="77777777" w:rsidR="002C7487" w:rsidRDefault="002C7487" w:rsidP="00E46E7F">
            <w:pPr>
              <w:pStyle w:val="RAN4H3"/>
              <w:numPr>
                <w:ilvl w:val="0"/>
                <w:numId w:val="0"/>
              </w:numPr>
            </w:pPr>
          </w:p>
        </w:tc>
      </w:tr>
    </w:tbl>
    <w:p w14:paraId="4A384598" w14:textId="77777777" w:rsidR="003A3ABE" w:rsidRDefault="003A3ABE" w:rsidP="003A3ABE"/>
    <w:p w14:paraId="0A93223E" w14:textId="02A396EF" w:rsidR="00777909" w:rsidRDefault="00777909" w:rsidP="003A3ABE">
      <w:r>
        <w:t xml:space="preserve">The idea from RAN2 is that the UE can </w:t>
      </w:r>
      <w:r w:rsidR="00C62C9D">
        <w:t>speed up</w:t>
      </w:r>
      <w:r>
        <w:t xml:space="preserve"> the process by </w:t>
      </w:r>
      <w:r w:rsidR="003A3ABE">
        <w:t>knowing that the current serving cell is not available</w:t>
      </w:r>
      <w:r w:rsidR="00D0527D">
        <w:t xml:space="preserve"> after t-service. </w:t>
      </w:r>
    </w:p>
    <w:p w14:paraId="13451A0D" w14:textId="77777777" w:rsidR="006B1C52" w:rsidRDefault="006B1C52" w:rsidP="006B1C52">
      <w:pPr>
        <w:rPr>
          <w:lang w:val="en-GB"/>
        </w:rPr>
      </w:pPr>
      <w:r>
        <w:rPr>
          <w:lang w:val="en-GB"/>
        </w:rPr>
        <w:t xml:space="preserve">Regardless of whether the conditions of the serving cell right before </w:t>
      </w:r>
      <w:r w:rsidRPr="008021B0">
        <w:rPr>
          <w:i/>
          <w:iCs/>
          <w:lang w:val="en-GB"/>
        </w:rPr>
        <w:t>t-service</w:t>
      </w:r>
      <w:r>
        <w:rPr>
          <w:lang w:val="en-GB"/>
        </w:rPr>
        <w:t xml:space="preserve"> are good or bad, the UE knows (by the configuration of t-service) that the serving cell will disappear </w:t>
      </w:r>
      <w:r w:rsidRPr="00516E3B">
        <w:rPr>
          <w:b/>
          <w:bCs/>
          <w:u w:val="single"/>
          <w:lang w:val="en-GB"/>
        </w:rPr>
        <w:t xml:space="preserve">at </w:t>
      </w:r>
      <w:r w:rsidRPr="00516E3B">
        <w:rPr>
          <w:b/>
          <w:bCs/>
          <w:i/>
          <w:iCs/>
          <w:u w:val="single"/>
          <w:lang w:val="en-GB"/>
        </w:rPr>
        <w:t>t-service</w:t>
      </w:r>
      <w:r>
        <w:rPr>
          <w:i/>
          <w:iCs/>
          <w:lang w:val="en-GB"/>
        </w:rPr>
        <w:t xml:space="preserve">. </w:t>
      </w:r>
      <w:r>
        <w:rPr>
          <w:lang w:val="en-GB"/>
        </w:rPr>
        <w:t xml:space="preserve">Based on the average scenario it is even more likely that the conditions on the serving cell </w:t>
      </w:r>
      <w:r w:rsidRPr="00134998">
        <w:rPr>
          <w:b/>
          <w:bCs/>
          <w:lang w:val="en-GB"/>
        </w:rPr>
        <w:t>are good</w:t>
      </w:r>
      <w:r>
        <w:rPr>
          <w:lang w:val="en-GB"/>
        </w:rPr>
        <w:t xml:space="preserve"> before the cell is discontinued.  Any last effort to collect serving cell measurements are not unnecessary, but it might hurt the timely cell reselection. This scenario is depicted in Figure 1.  In this figure, we show a scenario where the </w:t>
      </w:r>
      <w:proofErr w:type="spellStart"/>
      <w:r>
        <w:rPr>
          <w:lang w:val="en-GB"/>
        </w:rPr>
        <w:t>neighbor</w:t>
      </w:r>
      <w:proofErr w:type="spellEnd"/>
      <w:r>
        <w:rPr>
          <w:lang w:val="en-GB"/>
        </w:rPr>
        <w:t xml:space="preserve"> cell measurements are triggered by </w:t>
      </w:r>
      <w:proofErr w:type="spellStart"/>
      <w:r>
        <w:rPr>
          <w:lang w:val="en-GB"/>
        </w:rPr>
        <w:t>Ttrigger</w:t>
      </w:r>
      <w:proofErr w:type="spellEnd"/>
      <w:r>
        <w:rPr>
          <w:lang w:val="en-GB"/>
        </w:rPr>
        <w:t xml:space="preserve">. The received power level from the serving cell is still in good </w:t>
      </w:r>
      <w:proofErr w:type="gramStart"/>
      <w:r>
        <w:rPr>
          <w:lang w:val="en-GB"/>
        </w:rPr>
        <w:t>conditions, and</w:t>
      </w:r>
      <w:proofErr w:type="gramEnd"/>
      <w:r>
        <w:rPr>
          <w:lang w:val="en-GB"/>
        </w:rPr>
        <w:t xml:space="preserve"> might even be above any of the </w:t>
      </w:r>
      <w:proofErr w:type="spellStart"/>
      <w:r>
        <w:rPr>
          <w:lang w:val="en-GB"/>
        </w:rPr>
        <w:t>neighbor</w:t>
      </w:r>
      <w:proofErr w:type="spellEnd"/>
      <w:r>
        <w:rPr>
          <w:lang w:val="en-GB"/>
        </w:rPr>
        <w:t xml:space="preserve"> cells (as depicted). If that’s the case, the UE will not perform cell reselection upon t-service, as the UE will rank the serving cell as very high. Only </w:t>
      </w:r>
      <w:proofErr w:type="spellStart"/>
      <w:r>
        <w:rPr>
          <w:lang w:val="en-GB"/>
        </w:rPr>
        <w:t>T</w:t>
      </w:r>
      <w:r w:rsidRPr="004E16C1">
        <w:rPr>
          <w:vertAlign w:val="subscript"/>
          <w:lang w:val="en-GB"/>
        </w:rPr>
        <w:t>evaluate</w:t>
      </w:r>
      <w:proofErr w:type="spellEnd"/>
      <w:r>
        <w:rPr>
          <w:lang w:val="en-GB"/>
        </w:rPr>
        <w:t xml:space="preserve"> seconds after the last sample before t-service the UE will be required to perform the cell reselection. </w:t>
      </w:r>
    </w:p>
    <w:p w14:paraId="1D5FEE5B" w14:textId="77777777" w:rsidR="009D2D7E" w:rsidRDefault="006B1C52" w:rsidP="008C27FC">
      <w:pPr>
        <w:keepNext/>
        <w:jc w:val="center"/>
      </w:pPr>
      <w:r>
        <w:rPr>
          <w:noProof/>
          <w:lang w:val="en-GB"/>
        </w:rPr>
        <w:lastRenderedPageBreak/>
        <w:drawing>
          <wp:inline distT="0" distB="0" distL="0" distR="0" wp14:anchorId="169642FA" wp14:editId="1D9435FB">
            <wp:extent cx="5468439" cy="2689048"/>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bwMode="auto">
                    <a:xfrm>
                      <a:off x="0" y="0"/>
                      <a:ext cx="5468439" cy="2689048"/>
                    </a:xfrm>
                    <a:prstGeom prst="rect">
                      <a:avLst/>
                    </a:prstGeom>
                  </pic:spPr>
                </pic:pic>
              </a:graphicData>
            </a:graphic>
          </wp:inline>
        </w:drawing>
      </w:r>
    </w:p>
    <w:p w14:paraId="5D052D67" w14:textId="1139B333" w:rsidR="006B1C52" w:rsidRDefault="009D2D7E" w:rsidP="009D2D7E">
      <w:pPr>
        <w:pStyle w:val="Caption"/>
        <w:jc w:val="left"/>
      </w:pPr>
      <w:r>
        <w:t xml:space="preserve">Figure </w:t>
      </w:r>
      <w:r w:rsidR="003B0B51">
        <w:fldChar w:fldCharType="begin"/>
      </w:r>
      <w:r w:rsidR="003B0B51">
        <w:instrText xml:space="preserve"> SEQ Figure \* ARABIC </w:instrText>
      </w:r>
      <w:r w:rsidR="003B0B51">
        <w:fldChar w:fldCharType="separate"/>
      </w:r>
      <w:r w:rsidR="00AC0CE7">
        <w:rPr>
          <w:noProof/>
        </w:rPr>
        <w:t>1</w:t>
      </w:r>
      <w:r w:rsidR="003B0B51">
        <w:rPr>
          <w:noProof/>
        </w:rPr>
        <w:fldChar w:fldCharType="end"/>
      </w:r>
      <w:r w:rsidRPr="009D2D7E">
        <w:t xml:space="preserve"> </w:t>
      </w:r>
      <w:r>
        <w:t>The presence of good serving cell measurements (blue), better than neighbor cell measurements (green), before t-service, will delay the cell reselection at the UE side, even though the UE has full knowledge of the disappearance of the serving cell.</w:t>
      </w:r>
    </w:p>
    <w:p w14:paraId="31784C70" w14:textId="4493C6CF" w:rsidR="000E34E5" w:rsidRDefault="000E34E5" w:rsidP="003C227A">
      <w:pPr>
        <w:pStyle w:val="RAN4H3"/>
        <w:numPr>
          <w:ilvl w:val="0"/>
          <w:numId w:val="0"/>
        </w:numPr>
        <w:rPr>
          <w:lang w:val="en-GB"/>
        </w:rPr>
      </w:pPr>
    </w:p>
    <w:p w14:paraId="02E332E8" w14:textId="3079E944" w:rsidR="009D2D7E" w:rsidRDefault="009D2D7E" w:rsidP="00EE66C3">
      <w:pPr>
        <w:rPr>
          <w:lang w:val="en-GB"/>
        </w:rPr>
      </w:pPr>
      <w:r>
        <w:rPr>
          <w:lang w:val="en-GB"/>
        </w:rPr>
        <w:t xml:space="preserve">Based on this analysis, if the </w:t>
      </w:r>
      <w:proofErr w:type="spellStart"/>
      <w:r>
        <w:rPr>
          <w:lang w:val="en-GB"/>
        </w:rPr>
        <w:t>neighbor</w:t>
      </w:r>
      <w:proofErr w:type="spellEnd"/>
      <w:r>
        <w:rPr>
          <w:lang w:val="en-GB"/>
        </w:rPr>
        <w:t xml:space="preserve"> cell measurements </w:t>
      </w:r>
      <w:proofErr w:type="gramStart"/>
      <w:r>
        <w:rPr>
          <w:lang w:val="en-GB"/>
        </w:rPr>
        <w:t>is</w:t>
      </w:r>
      <w:proofErr w:type="gramEnd"/>
      <w:r>
        <w:rPr>
          <w:lang w:val="en-GB"/>
        </w:rPr>
        <w:t xml:space="preserve"> not triggered </w:t>
      </w:r>
      <w:r w:rsidR="005F24BD">
        <w:rPr>
          <w:lang w:val="en-GB"/>
        </w:rPr>
        <w:t xml:space="preserve">by radio conditions (S-criteria), but the measurements are initiated </w:t>
      </w:r>
      <w:r w:rsidR="00EA12B0">
        <w:rPr>
          <w:lang w:val="en-GB"/>
        </w:rPr>
        <w:t>by the time-based trigger (t-service)</w:t>
      </w:r>
      <w:r w:rsidR="00EE66C3">
        <w:rPr>
          <w:lang w:val="en-GB"/>
        </w:rPr>
        <w:t xml:space="preserve">, the UE </w:t>
      </w:r>
      <w:r w:rsidR="004C6EF6">
        <w:rPr>
          <w:lang w:val="en-GB"/>
        </w:rPr>
        <w:t>should</w:t>
      </w:r>
      <w:r w:rsidR="00EE66C3">
        <w:rPr>
          <w:lang w:val="en-GB"/>
        </w:rPr>
        <w:t xml:space="preserve"> not </w:t>
      </w:r>
      <w:r w:rsidR="00E35EE8">
        <w:rPr>
          <w:lang w:val="en-GB"/>
        </w:rPr>
        <w:t xml:space="preserve">be </w:t>
      </w:r>
      <w:r w:rsidR="00EE66C3">
        <w:rPr>
          <w:lang w:val="en-GB"/>
        </w:rPr>
        <w:t xml:space="preserve">required to perform </w:t>
      </w:r>
      <w:r w:rsidR="00FB5269">
        <w:rPr>
          <w:lang w:val="en-GB"/>
        </w:rPr>
        <w:t xml:space="preserve">measurements towards the serving cell, </w:t>
      </w:r>
      <w:r w:rsidR="00F618EE">
        <w:rPr>
          <w:lang w:val="en-GB"/>
        </w:rPr>
        <w:t xml:space="preserve">whenever this leads to a smaller value of </w:t>
      </w:r>
      <w:proofErr w:type="spellStart"/>
      <w:r w:rsidR="00F618EE">
        <w:rPr>
          <w:lang w:val="en-GB"/>
        </w:rPr>
        <w:t>K_satellite</w:t>
      </w:r>
      <w:proofErr w:type="spellEnd"/>
      <w:r w:rsidR="006E409F">
        <w:rPr>
          <w:lang w:val="en-GB"/>
        </w:rPr>
        <w:t xml:space="preserve"> (</w:t>
      </w:r>
      <w:r w:rsidR="00FB5269">
        <w:rPr>
          <w:lang w:val="en-GB"/>
        </w:rPr>
        <w:t>no other cells are configured for measurement on the same serving satellite</w:t>
      </w:r>
      <w:r w:rsidR="004C6EF6">
        <w:rPr>
          <w:lang w:val="en-GB"/>
        </w:rPr>
        <w:t xml:space="preserve">). This would cause the UE to trigger a faster cell reselection or a faster cell search. </w:t>
      </w:r>
    </w:p>
    <w:p w14:paraId="62508936" w14:textId="3BDAC293" w:rsidR="00D04DA7" w:rsidRDefault="00D04DA7" w:rsidP="00D04DA7">
      <w:pPr>
        <w:pStyle w:val="RAN4proposal"/>
        <w:rPr>
          <w:lang w:val="en-GB"/>
        </w:rPr>
      </w:pPr>
      <w:bookmarkStart w:id="8" w:name="_Toc149938145"/>
      <w:r>
        <w:rPr>
          <w:lang w:val="en-GB"/>
        </w:rPr>
        <w:t xml:space="preserve">When a UE </w:t>
      </w:r>
      <w:r w:rsidR="00E8568A">
        <w:rPr>
          <w:lang w:val="en-GB"/>
        </w:rPr>
        <w:t xml:space="preserve">starts </w:t>
      </w:r>
      <w:proofErr w:type="spellStart"/>
      <w:r w:rsidR="00E8568A">
        <w:rPr>
          <w:lang w:val="en-GB"/>
        </w:rPr>
        <w:t>neighbor</w:t>
      </w:r>
      <w:proofErr w:type="spellEnd"/>
      <w:r w:rsidR="00E8568A">
        <w:rPr>
          <w:lang w:val="en-GB"/>
        </w:rPr>
        <w:t xml:space="preserve"> cell measurements based on time-based measurement initiation (</w:t>
      </w:r>
      <w:proofErr w:type="gramStart"/>
      <w:r w:rsidR="00E8568A">
        <w:rPr>
          <w:lang w:val="en-GB"/>
        </w:rPr>
        <w:t>e.g.</w:t>
      </w:r>
      <w:proofErr w:type="gramEnd"/>
      <w:r w:rsidR="00E8568A">
        <w:rPr>
          <w:lang w:val="en-GB"/>
        </w:rPr>
        <w:t xml:space="preserve"> </w:t>
      </w:r>
      <w:proofErr w:type="spellStart"/>
      <w:r w:rsidR="00E8568A">
        <w:rPr>
          <w:lang w:val="en-GB"/>
        </w:rPr>
        <w:t>T</w:t>
      </w:r>
      <w:r w:rsidR="00E8568A" w:rsidRPr="00E8568A">
        <w:rPr>
          <w:vertAlign w:val="subscript"/>
          <w:lang w:val="en-GB"/>
        </w:rPr>
        <w:t>trigger</w:t>
      </w:r>
      <w:proofErr w:type="spellEnd"/>
      <w:r w:rsidR="00E8568A">
        <w:rPr>
          <w:lang w:val="en-GB"/>
        </w:rPr>
        <w:t xml:space="preserve"> before t-service)</w:t>
      </w:r>
      <w:r w:rsidR="00724296">
        <w:rPr>
          <w:lang w:val="en-GB"/>
        </w:rPr>
        <w:t>,</w:t>
      </w:r>
      <w:r w:rsidR="0073637C">
        <w:rPr>
          <w:lang w:val="en-GB"/>
        </w:rPr>
        <w:t xml:space="preserve"> the UE </w:t>
      </w:r>
      <w:r w:rsidR="00746AAC">
        <w:rPr>
          <w:lang w:val="en-GB"/>
        </w:rPr>
        <w:t>skips the serving cell measurements when the following side conditions are met:</w:t>
      </w:r>
      <w:bookmarkEnd w:id="8"/>
    </w:p>
    <w:p w14:paraId="454AA3D9" w14:textId="4565D543" w:rsidR="00746AAC" w:rsidRDefault="00746AAC" w:rsidP="00724296">
      <w:pPr>
        <w:pStyle w:val="RAN4proposal"/>
        <w:numPr>
          <w:ilvl w:val="1"/>
          <w:numId w:val="7"/>
        </w:numPr>
        <w:rPr>
          <w:lang w:val="en-GB"/>
        </w:rPr>
      </w:pPr>
      <w:bookmarkStart w:id="9" w:name="_Toc149938146"/>
      <w:r>
        <w:rPr>
          <w:lang w:val="en-GB"/>
        </w:rPr>
        <w:t xml:space="preserve">When skipping serving cell measurements reduces the value of </w:t>
      </w:r>
      <w:proofErr w:type="spellStart"/>
      <w:r>
        <w:rPr>
          <w:lang w:val="en-GB"/>
        </w:rPr>
        <w:t>Ksatellite</w:t>
      </w:r>
      <w:proofErr w:type="spellEnd"/>
      <w:r>
        <w:rPr>
          <w:lang w:val="en-GB"/>
        </w:rPr>
        <w:t xml:space="preserve"> (</w:t>
      </w:r>
      <w:proofErr w:type="gramStart"/>
      <w:r>
        <w:rPr>
          <w:lang w:val="en-GB"/>
        </w:rPr>
        <w:t>i.e.</w:t>
      </w:r>
      <w:proofErr w:type="gramEnd"/>
      <w:r>
        <w:rPr>
          <w:lang w:val="en-GB"/>
        </w:rPr>
        <w:t xml:space="preserve"> no </w:t>
      </w:r>
      <w:proofErr w:type="spellStart"/>
      <w:r>
        <w:rPr>
          <w:lang w:val="en-GB"/>
        </w:rPr>
        <w:t>neighbor</w:t>
      </w:r>
      <w:proofErr w:type="spellEnd"/>
      <w:r>
        <w:rPr>
          <w:lang w:val="en-GB"/>
        </w:rPr>
        <w:t xml:space="preserve"> cell is configured for measurements in the same satellite as the serving cell)</w:t>
      </w:r>
      <w:bookmarkEnd w:id="9"/>
    </w:p>
    <w:p w14:paraId="40EA4FFA" w14:textId="50160714" w:rsidR="00E708A3" w:rsidRPr="00E708A3" w:rsidRDefault="0095238F" w:rsidP="00E708A3">
      <w:pPr>
        <w:pStyle w:val="RAN4proposal"/>
        <w:numPr>
          <w:ilvl w:val="1"/>
          <w:numId w:val="7"/>
        </w:numPr>
        <w:rPr>
          <w:lang w:val="en-GB"/>
        </w:rPr>
      </w:pPr>
      <w:bookmarkStart w:id="10" w:name="_Toc149938147"/>
      <w:r>
        <w:rPr>
          <w:lang w:val="en-GB"/>
        </w:rPr>
        <w:t xml:space="preserve">The S-Criterion is still met by the serving cell, according to the most recent </w:t>
      </w:r>
      <w:r w:rsidR="00E90A4A">
        <w:rPr>
          <w:lang w:val="en-GB"/>
        </w:rPr>
        <w:t>measurements on the serving cell.</w:t>
      </w:r>
      <w:bookmarkEnd w:id="10"/>
      <w:r w:rsidR="00E90A4A">
        <w:rPr>
          <w:lang w:val="en-GB"/>
        </w:rPr>
        <w:t xml:space="preserve"> </w:t>
      </w:r>
    </w:p>
    <w:p w14:paraId="2E2A9606" w14:textId="08D065B0" w:rsidR="00E90A4A" w:rsidRDefault="00A56E48" w:rsidP="00A56E48">
      <w:pPr>
        <w:pStyle w:val="RAN4proposal"/>
        <w:numPr>
          <w:ilvl w:val="1"/>
          <w:numId w:val="7"/>
        </w:numPr>
        <w:rPr>
          <w:lang w:val="en-GB"/>
        </w:rPr>
      </w:pPr>
      <w:bookmarkStart w:id="11" w:name="_Toc149938148"/>
      <w:r>
        <w:rPr>
          <w:lang w:val="en-GB"/>
        </w:rPr>
        <w:t xml:space="preserve">If those conditions are met, </w:t>
      </w:r>
      <w:r w:rsidR="00E708A3">
        <w:rPr>
          <w:lang w:val="en-GB"/>
        </w:rPr>
        <w:t xml:space="preserve">the UE is allowed to use the last value for the serving cell measurements for cell reselection purpose </w:t>
      </w:r>
      <w:r>
        <w:rPr>
          <w:lang w:val="en-GB"/>
        </w:rPr>
        <w:t>until t-service is reached.</w:t>
      </w:r>
      <w:bookmarkEnd w:id="11"/>
      <w:r>
        <w:rPr>
          <w:lang w:val="en-GB"/>
        </w:rPr>
        <w:t xml:space="preserve"> </w:t>
      </w:r>
    </w:p>
    <w:p w14:paraId="4361D7E3" w14:textId="5B0DECD1" w:rsidR="000B4FF4" w:rsidRDefault="000B4FF4" w:rsidP="00740507">
      <w:pPr>
        <w:pStyle w:val="RAN4proposal"/>
        <w:numPr>
          <w:ilvl w:val="0"/>
          <w:numId w:val="0"/>
        </w:numPr>
        <w:ind w:left="1080"/>
      </w:pPr>
    </w:p>
    <w:p w14:paraId="62A13C65" w14:textId="77777777" w:rsidR="00A52955" w:rsidRDefault="00A52955" w:rsidP="00A52955"/>
    <w:p w14:paraId="7254F5F2" w14:textId="0E88421E" w:rsidR="004301FA" w:rsidRDefault="00B90E87" w:rsidP="00B90E87">
      <w:pPr>
        <w:pStyle w:val="RAN4H2"/>
      </w:pPr>
      <w:r>
        <w:t>Connected Mode Measurements</w:t>
      </w:r>
    </w:p>
    <w:p w14:paraId="54FEB38F" w14:textId="147AF20C" w:rsidR="00087FF8" w:rsidRPr="00087FF8" w:rsidRDefault="00551AAE" w:rsidP="00914681">
      <w:pPr>
        <w:pStyle w:val="RAN4H3"/>
      </w:pPr>
      <w:r>
        <w:t>Time-based measurement initiation for NB-IoT</w:t>
      </w:r>
    </w:p>
    <w:p w14:paraId="46832F30" w14:textId="77777777" w:rsidR="007A0B32" w:rsidRDefault="00087FF8" w:rsidP="00B90E87">
      <w:r>
        <w:t xml:space="preserve">In the last meeting, RAN4 has agreed </w:t>
      </w:r>
      <w:proofErr w:type="gramStart"/>
      <w:r>
        <w:t>that,</w:t>
      </w:r>
      <w:proofErr w:type="gramEnd"/>
      <w:r>
        <w:t xml:space="preserve"> a NB-IoT </w:t>
      </w:r>
      <w:r w:rsidR="003634FA">
        <w:t xml:space="preserve">UE shall initiate </w:t>
      </w:r>
      <w:r w:rsidR="00790986">
        <w:t xml:space="preserve">neighbor cell measurements </w:t>
      </w:r>
      <w:r w:rsidR="00FF03E4">
        <w:t>in connected mode depending on time-based triggers.</w:t>
      </w:r>
      <w:r w:rsidR="00007239">
        <w:tab/>
      </w:r>
      <w:r w:rsidR="007A0B32">
        <w:t>These agreements were captured as follows:</w:t>
      </w:r>
    </w:p>
    <w:tbl>
      <w:tblPr>
        <w:tblStyle w:val="TableGrid"/>
        <w:tblW w:w="0" w:type="auto"/>
        <w:tblLook w:val="04A0" w:firstRow="1" w:lastRow="0" w:firstColumn="1" w:lastColumn="0" w:noHBand="0" w:noVBand="1"/>
      </w:tblPr>
      <w:tblGrid>
        <w:gridCol w:w="9617"/>
      </w:tblGrid>
      <w:tr w:rsidR="007A0B32" w14:paraId="5E7221EB" w14:textId="77777777" w:rsidTr="007A0B32">
        <w:tc>
          <w:tcPr>
            <w:tcW w:w="9617" w:type="dxa"/>
          </w:tcPr>
          <w:p w14:paraId="1192F106" w14:textId="77777777" w:rsidR="00953F81" w:rsidRPr="00CB67E5" w:rsidRDefault="00953F81" w:rsidP="00953F81">
            <w:pPr>
              <w:overflowPunct w:val="0"/>
              <w:autoSpaceDE w:val="0"/>
              <w:autoSpaceDN w:val="0"/>
              <w:adjustRightInd w:val="0"/>
              <w:textAlignment w:val="baseline"/>
              <w:rPr>
                <w:sz w:val="21"/>
                <w:szCs w:val="21"/>
                <w:lang w:eastAsia="zh-CN"/>
              </w:rPr>
            </w:pPr>
            <w:r w:rsidRPr="00CB67E5">
              <w:rPr>
                <w:rFonts w:hint="eastAsia"/>
                <w:sz w:val="21"/>
                <w:szCs w:val="21"/>
                <w:lang w:eastAsia="zh-CN"/>
              </w:rPr>
              <w:t>A</w:t>
            </w:r>
            <w:r w:rsidRPr="00CB67E5">
              <w:rPr>
                <w:sz w:val="21"/>
                <w:szCs w:val="21"/>
                <w:lang w:eastAsia="zh-CN"/>
              </w:rPr>
              <w:t xml:space="preserve">greement: </w:t>
            </w:r>
          </w:p>
          <w:p w14:paraId="3295C0C4" w14:textId="77777777" w:rsidR="00E201E6" w:rsidRPr="00CB67E5" w:rsidRDefault="00E201E6" w:rsidP="00E201E6">
            <w:pPr>
              <w:pStyle w:val="ListParagraph"/>
              <w:numPr>
                <w:ilvl w:val="0"/>
                <w:numId w:val="45"/>
              </w:numPr>
              <w:overflowPunct w:val="0"/>
              <w:autoSpaceDE w:val="0"/>
              <w:autoSpaceDN w:val="0"/>
              <w:adjustRightInd w:val="0"/>
              <w:spacing w:after="180"/>
              <w:contextualSpacing w:val="0"/>
              <w:textAlignment w:val="baseline"/>
              <w:rPr>
                <w:rFonts w:eastAsia="Batang"/>
                <w:lang w:eastAsia="ko-KR"/>
              </w:rPr>
            </w:pPr>
            <w:r w:rsidRPr="00CB67E5">
              <w:rPr>
                <w:rFonts w:eastAsia="Batang"/>
                <w:lang w:eastAsia="ko-KR"/>
              </w:rPr>
              <w:fldChar w:fldCharType="begin"/>
            </w:r>
            <w:r w:rsidRPr="00CB67E5">
              <w:rPr>
                <w:rFonts w:eastAsia="Batang"/>
                <w:lang w:eastAsia="ko-KR"/>
              </w:rPr>
              <w:instrText xml:space="preserve"> REF _Ref146637939 \h  \* MERGEFORMAT </w:instrText>
            </w:r>
            <w:r w:rsidRPr="00CB67E5">
              <w:rPr>
                <w:rFonts w:eastAsia="Batang"/>
                <w:lang w:eastAsia="ko-KR"/>
              </w:rPr>
            </w:r>
            <w:r w:rsidRPr="00CB67E5">
              <w:rPr>
                <w:rFonts w:eastAsia="Batang"/>
                <w:lang w:eastAsia="ko-KR"/>
              </w:rPr>
              <w:fldChar w:fldCharType="separate"/>
            </w:r>
            <w:r w:rsidRPr="00CB67E5">
              <w:t xml:space="preserve">NTN </w:t>
            </w:r>
            <w:bookmarkStart w:id="12" w:name="_Hlk146909403"/>
            <w:r w:rsidRPr="00CB67E5">
              <w:t>NB-IoT inter-frequency measurement in connected mode</w:t>
            </w:r>
            <w:bookmarkEnd w:id="12"/>
            <w:r w:rsidRPr="00CB67E5">
              <w:t xml:space="preserve">, update </w:t>
            </w:r>
            <w:r w:rsidRPr="00CB67E5">
              <w:rPr>
                <w:rFonts w:eastAsia="Times New Roman"/>
                <w:noProof/>
                <w:lang w:eastAsia="zh-CN"/>
              </w:rPr>
              <w:t>T</w:t>
            </w:r>
            <w:r w:rsidRPr="00CB67E5">
              <w:rPr>
                <w:rFonts w:eastAsia="Times New Roman"/>
                <w:noProof/>
                <w:vertAlign w:val="subscript"/>
                <w:lang w:eastAsia="en-GB"/>
              </w:rPr>
              <w:t>detect_i</w:t>
            </w:r>
            <w:r w:rsidRPr="00CB67E5">
              <w:rPr>
                <w:rFonts w:eastAsia="Times New Roman"/>
                <w:noProof/>
                <w:vertAlign w:val="subscript"/>
                <w:lang w:eastAsia="zh-CN"/>
              </w:rPr>
              <w:t>nter</w:t>
            </w:r>
            <w:r w:rsidRPr="00CB67E5">
              <w:rPr>
                <w:rFonts w:eastAsia="Times New Roman"/>
                <w:noProof/>
                <w:vertAlign w:val="subscript"/>
                <w:lang w:eastAsia="en-GB"/>
              </w:rPr>
              <w:t xml:space="preserve"> NB1-NC</w:t>
            </w:r>
            <w:r w:rsidRPr="00CB67E5">
              <w:rPr>
                <w:rFonts w:eastAsia="Times New Roman"/>
                <w:noProof/>
                <w:vertAlign w:val="subscript"/>
                <w:lang w:eastAsia="zh-CN"/>
              </w:rPr>
              <w:t xml:space="preserve">  </w:t>
            </w:r>
            <w:r w:rsidRPr="00CB67E5">
              <w:rPr>
                <w:rFonts w:eastAsia="Times New Roman"/>
                <w:noProof/>
                <w:lang w:eastAsia="zh-CN"/>
              </w:rPr>
              <w:t xml:space="preserve">and </w:t>
            </w:r>
            <w:r w:rsidRPr="00CB67E5">
              <w:rPr>
                <w:noProof/>
                <w:lang w:eastAsia="zh-CN"/>
              </w:rPr>
              <w:t>T</w:t>
            </w:r>
            <w:r w:rsidRPr="00CB67E5">
              <w:rPr>
                <w:rFonts w:eastAsia="Times New Roman"/>
                <w:noProof/>
                <w:vertAlign w:val="subscript"/>
                <w:lang w:eastAsia="en-GB"/>
              </w:rPr>
              <w:t>measure _inter NB1-NC</w:t>
            </w:r>
            <w:r w:rsidRPr="00CB67E5">
              <w:t xml:space="preserve"> as</w:t>
            </w:r>
            <w:r w:rsidRPr="00CB67E5">
              <w:rPr>
                <w:rFonts w:eastAsia="Batang"/>
                <w:lang w:eastAsia="ko-KR"/>
              </w:rPr>
              <w:fldChar w:fldCharType="end"/>
            </w:r>
          </w:p>
          <w:p w14:paraId="0DF8AB99" w14:textId="77777777" w:rsidR="00953F81" w:rsidRPr="00CB67E5" w:rsidRDefault="003B0B51" w:rsidP="00953F81">
            <w:pPr>
              <w:pStyle w:val="ListParagraph"/>
              <w:numPr>
                <w:ilvl w:val="1"/>
                <w:numId w:val="45"/>
              </w:numPr>
              <w:overflowPunct w:val="0"/>
              <w:autoSpaceDE w:val="0"/>
              <w:autoSpaceDN w:val="0"/>
              <w:adjustRightInd w:val="0"/>
              <w:spacing w:after="180"/>
              <w:contextualSpacing w:val="0"/>
              <w:textAlignment w:val="baseline"/>
              <w:rPr>
                <w:rFonts w:eastAsia="Times New Roman"/>
                <w:lang w:eastAsia="zh-CN"/>
              </w:rPr>
            </w:pPr>
            <m:oMath>
              <m:sSub>
                <m:sSubPr>
                  <m:ctrlPr>
                    <w:rPr>
                      <w:rFonts w:ascii="Cambria Math" w:eastAsia="Times New Roman" w:hAnsi="Cambria Math"/>
                      <w:iCs/>
                      <w:noProof/>
                      <w:lang w:val="sv-SE"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detect_inter_NB1-NC</m:t>
                  </m:r>
                </m:sub>
              </m:sSub>
              <m:r>
                <m:rPr>
                  <m:sty m:val="p"/>
                </m:rPr>
                <w:rPr>
                  <w:rFonts w:ascii="Cambria Math" w:eastAsia="Cambria Math" w:hAnsi="Cambria Math"/>
                  <w:noProof/>
                  <w:lang w:eastAsia="zh-CN"/>
                </w:rPr>
                <m:t>=</m:t>
              </m:r>
              <m:nary>
                <m:naryPr>
                  <m:chr m:val="∑"/>
                  <m:limLoc m:val="undOvr"/>
                  <m:ctrlPr>
                    <w:rPr>
                      <w:rFonts w:ascii="Cambria Math" w:eastAsia="Cambria Math" w:hAnsi="Cambria Math"/>
                      <w:noProof/>
                      <w:lang w:val="sv-SE" w:eastAsia="en-GB"/>
                    </w:rPr>
                  </m:ctrlPr>
                </m:naryPr>
                <m:sub>
                  <m:r>
                    <w:rPr>
                      <w:rFonts w:ascii="Cambria Math" w:eastAsia="Cambria Math" w:hAnsi="Cambria Math"/>
                      <w:noProof/>
                      <w:lang w:val="sv-SE" w:eastAsia="zh-CN"/>
                    </w:rPr>
                    <m:t>i</m:t>
                  </m:r>
                </m:sub>
                <m:sup>
                  <m:r>
                    <w:rPr>
                      <w:rFonts w:ascii="Cambria Math" w:eastAsia="Cambria Math" w:hAnsi="Cambria Math"/>
                      <w:noProof/>
                      <w:lang w:val="sv-SE" w:eastAsia="zh-CN"/>
                    </w:rPr>
                    <m:t>N</m:t>
                  </m:r>
                  <m:r>
                    <w:rPr>
                      <w:rFonts w:ascii="Cambria Math" w:eastAsia="Cambria Math" w:hAnsi="Cambria Math"/>
                      <w:noProof/>
                      <w:lang w:eastAsia="zh-CN"/>
                    </w:rPr>
                    <m:t>*</m:t>
                  </m:r>
                  <m:r>
                    <m:rPr>
                      <m:sty m:val="p"/>
                    </m:rPr>
                    <w:rPr>
                      <w:rFonts w:ascii="Cambria Math" w:eastAsia="Times New Roman" w:hAnsi="Cambria Math"/>
                      <w:lang w:eastAsia="zh-CN"/>
                    </w:rPr>
                    <m:t>K_satellite</m:t>
                  </m:r>
                </m:sup>
                <m:e>
                  <m:r>
                    <w:rPr>
                      <w:rFonts w:ascii="Cambria Math" w:eastAsia="Cambria Math" w:hAnsi="Cambria Math"/>
                      <w:noProof/>
                      <w:lang w:val="sv-SE" w:eastAsia="zh-CN"/>
                    </w:rPr>
                    <m:t>Min</m:t>
                  </m:r>
                  <m:r>
                    <m:rPr>
                      <m:sty m:val="p"/>
                    </m:rPr>
                    <w:rPr>
                      <w:rFonts w:ascii="Cambria Math" w:eastAsia="Cambria Math" w:hAnsi="Cambria Math"/>
                      <w:noProof/>
                      <w:lang w:eastAsia="zh-CN"/>
                    </w:rPr>
                    <m:t xml:space="preserve">(5000, </m:t>
                  </m:r>
                  <m:sSub>
                    <m:sSubPr>
                      <m:ctrlPr>
                        <w:rPr>
                          <w:rFonts w:ascii="Cambria Math" w:eastAsia="Cambria Math" w:hAnsi="Cambria Math"/>
                          <w:noProof/>
                          <w:lang w:val="sv-SE" w:eastAsia="en-GB"/>
                        </w:rPr>
                      </m:ctrlPr>
                    </m:sSubPr>
                    <m:e>
                      <m:r>
                        <w:rPr>
                          <w:rFonts w:ascii="Cambria Math" w:eastAsia="Cambria Math" w:hAnsi="Cambria Math"/>
                          <w:noProof/>
                          <w:lang w:val="sv-SE" w:eastAsia="zh-CN"/>
                        </w:rPr>
                        <m:t>T</m:t>
                      </m:r>
                    </m:e>
                    <m:sub>
                      <m:r>
                        <w:rPr>
                          <w:rFonts w:ascii="Cambria Math" w:eastAsia="Cambria Math" w:hAnsi="Cambria Math"/>
                          <w:noProof/>
                          <w:lang w:val="sv-SE" w:eastAsia="zh-CN"/>
                        </w:rPr>
                        <m:t>a</m:t>
                      </m:r>
                      <m:r>
                        <m:rPr>
                          <m:sty m:val="p"/>
                        </m:rPr>
                        <w:rPr>
                          <w:rFonts w:ascii="Cambria Math" w:eastAsia="Cambria Math" w:hAnsi="Cambria Math"/>
                          <w:noProof/>
                          <w:lang w:eastAsia="zh-CN"/>
                        </w:rPr>
                        <m:t>,</m:t>
                      </m:r>
                      <m:r>
                        <w:rPr>
                          <w:rFonts w:ascii="Cambria Math" w:eastAsia="Cambria Math" w:hAnsi="Cambria Math"/>
                          <w:noProof/>
                          <w:lang w:val="sv-SE" w:eastAsia="zh-CN"/>
                        </w:rPr>
                        <m:t>i</m:t>
                      </m:r>
                    </m:sub>
                  </m:sSub>
                  <m:r>
                    <m:rPr>
                      <m:sty m:val="p"/>
                    </m:rPr>
                    <w:rPr>
                      <w:rFonts w:ascii="Cambria Math" w:eastAsia="Cambria Math" w:hAnsi="Cambria Math"/>
                      <w:noProof/>
                      <w:lang w:eastAsia="zh-CN"/>
                    </w:rPr>
                    <m:t>)</m:t>
                  </m:r>
                </m:e>
              </m:nary>
            </m:oMath>
            <w:r w:rsidR="00953F81" w:rsidRPr="00CB67E5">
              <w:rPr>
                <w:rFonts w:eastAsia="Times New Roman"/>
                <w:noProof/>
                <w:lang w:eastAsia="zh-CN"/>
              </w:rPr>
              <w:t xml:space="preserve"> ms</w:t>
            </w:r>
          </w:p>
          <w:p w14:paraId="17DBD2CB" w14:textId="77777777" w:rsidR="00953F81" w:rsidRPr="00CB67E5" w:rsidRDefault="003B0B51" w:rsidP="00953F81">
            <w:pPr>
              <w:pStyle w:val="ListParagraph"/>
              <w:numPr>
                <w:ilvl w:val="1"/>
                <w:numId w:val="45"/>
              </w:numPr>
              <w:overflowPunct w:val="0"/>
              <w:autoSpaceDE w:val="0"/>
              <w:autoSpaceDN w:val="0"/>
              <w:adjustRightInd w:val="0"/>
              <w:spacing w:after="180"/>
              <w:contextualSpacing w:val="0"/>
              <w:textAlignment w:val="baseline"/>
              <w:rPr>
                <w:rFonts w:eastAsia="Times New Roman"/>
                <w:lang w:eastAsia="zh-CN"/>
              </w:rPr>
            </w:pPr>
            <m:oMath>
              <m:sSub>
                <m:sSubPr>
                  <m:ctrlPr>
                    <w:rPr>
                      <w:rFonts w:ascii="Cambria Math" w:eastAsia="Times New Roman" w:hAnsi="Cambria Math"/>
                      <w:iCs/>
                      <w:noProof/>
                      <w:lang w:val="sv-SE"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measure_inter_NB1-NC</m:t>
                  </m:r>
                </m:sub>
              </m:sSub>
              <m:r>
                <m:rPr>
                  <m:sty m:val="p"/>
                </m:rPr>
                <w:rPr>
                  <w:rFonts w:ascii="Cambria Math" w:eastAsia="Cambria Math" w:hAnsi="Cambria Math"/>
                  <w:noProof/>
                  <w:lang w:eastAsia="zh-CN"/>
                </w:rPr>
                <m:t>=</m:t>
              </m:r>
              <m:nary>
                <m:naryPr>
                  <m:chr m:val="∑"/>
                  <m:limLoc m:val="undOvr"/>
                  <m:ctrlPr>
                    <w:rPr>
                      <w:rFonts w:ascii="Cambria Math" w:eastAsia="Cambria Math" w:hAnsi="Cambria Math"/>
                      <w:noProof/>
                      <w:lang w:val="sv-SE" w:eastAsia="en-GB"/>
                    </w:rPr>
                  </m:ctrlPr>
                </m:naryPr>
                <m:sub>
                  <m:r>
                    <w:rPr>
                      <w:rFonts w:ascii="Cambria Math" w:eastAsia="Cambria Math" w:hAnsi="Cambria Math"/>
                      <w:noProof/>
                      <w:lang w:val="sv-SE" w:eastAsia="zh-CN"/>
                    </w:rPr>
                    <m:t>i</m:t>
                  </m:r>
                </m:sub>
                <m:sup>
                  <m:r>
                    <w:rPr>
                      <w:rFonts w:ascii="Cambria Math" w:eastAsia="Cambria Math" w:hAnsi="Cambria Math"/>
                      <w:noProof/>
                      <w:lang w:val="sv-SE" w:eastAsia="zh-CN"/>
                    </w:rPr>
                    <m:t>M</m:t>
                  </m:r>
                  <m:r>
                    <w:rPr>
                      <w:rFonts w:ascii="Cambria Math" w:eastAsia="Cambria Math" w:hAnsi="Cambria Math"/>
                      <w:noProof/>
                      <w:lang w:eastAsia="zh-CN"/>
                    </w:rPr>
                    <m:t>*</m:t>
                  </m:r>
                  <m:r>
                    <m:rPr>
                      <m:sty m:val="p"/>
                    </m:rPr>
                    <w:rPr>
                      <w:rFonts w:ascii="Cambria Math" w:eastAsia="Times New Roman" w:hAnsi="Cambria Math"/>
                      <w:lang w:eastAsia="zh-CN"/>
                    </w:rPr>
                    <m:t>K_satellite</m:t>
                  </m:r>
                </m:sup>
                <m:e>
                  <m:r>
                    <w:rPr>
                      <w:rFonts w:ascii="Cambria Math" w:eastAsia="Cambria Math" w:hAnsi="Cambria Math"/>
                      <w:noProof/>
                      <w:lang w:val="sv-SE" w:eastAsia="zh-CN"/>
                    </w:rPr>
                    <m:t>Min</m:t>
                  </m:r>
                  <m:r>
                    <m:rPr>
                      <m:sty m:val="p"/>
                    </m:rPr>
                    <w:rPr>
                      <w:rFonts w:ascii="Cambria Math" w:eastAsia="Cambria Math" w:hAnsi="Cambria Math"/>
                      <w:noProof/>
                      <w:lang w:eastAsia="zh-CN"/>
                    </w:rPr>
                    <m:t xml:space="preserve">(5000, </m:t>
                  </m:r>
                  <m:sSub>
                    <m:sSubPr>
                      <m:ctrlPr>
                        <w:rPr>
                          <w:rFonts w:ascii="Cambria Math" w:eastAsia="Cambria Math" w:hAnsi="Cambria Math"/>
                          <w:noProof/>
                          <w:lang w:val="sv-SE" w:eastAsia="en-GB"/>
                        </w:rPr>
                      </m:ctrlPr>
                    </m:sSubPr>
                    <m:e>
                      <m:r>
                        <w:rPr>
                          <w:rFonts w:ascii="Cambria Math" w:eastAsia="Cambria Math" w:hAnsi="Cambria Math"/>
                          <w:noProof/>
                          <w:lang w:val="sv-SE" w:eastAsia="zh-CN"/>
                        </w:rPr>
                        <m:t>T</m:t>
                      </m:r>
                    </m:e>
                    <m:sub>
                      <m:r>
                        <w:rPr>
                          <w:rFonts w:ascii="Cambria Math" w:eastAsia="Cambria Math" w:hAnsi="Cambria Math"/>
                          <w:noProof/>
                          <w:lang w:val="sv-SE" w:eastAsia="zh-CN"/>
                        </w:rPr>
                        <m:t>b</m:t>
                      </m:r>
                      <m:r>
                        <m:rPr>
                          <m:sty m:val="p"/>
                        </m:rPr>
                        <w:rPr>
                          <w:rFonts w:ascii="Cambria Math" w:eastAsia="Cambria Math" w:hAnsi="Cambria Math"/>
                          <w:noProof/>
                          <w:lang w:eastAsia="zh-CN"/>
                        </w:rPr>
                        <m:t>,</m:t>
                      </m:r>
                      <m:r>
                        <w:rPr>
                          <w:rFonts w:ascii="Cambria Math" w:eastAsia="Cambria Math" w:hAnsi="Cambria Math"/>
                          <w:noProof/>
                          <w:lang w:val="sv-SE" w:eastAsia="zh-CN"/>
                        </w:rPr>
                        <m:t>i</m:t>
                      </m:r>
                    </m:sub>
                  </m:sSub>
                  <m:r>
                    <m:rPr>
                      <m:sty m:val="p"/>
                    </m:rPr>
                    <w:rPr>
                      <w:rFonts w:ascii="Cambria Math" w:eastAsia="Cambria Math" w:hAnsi="Cambria Math"/>
                      <w:noProof/>
                      <w:lang w:eastAsia="zh-CN"/>
                    </w:rPr>
                    <m:t>)</m:t>
                  </m:r>
                </m:e>
              </m:nary>
            </m:oMath>
            <w:r w:rsidR="00953F81" w:rsidRPr="00CB67E5">
              <w:rPr>
                <w:rFonts w:eastAsia="Times New Roman"/>
                <w:noProof/>
                <w:lang w:eastAsia="zh-CN"/>
              </w:rPr>
              <w:t xml:space="preserve"> ms</w:t>
            </w:r>
          </w:p>
          <w:p w14:paraId="673270CA" w14:textId="77777777" w:rsidR="00953F81" w:rsidRPr="00CB67E5" w:rsidRDefault="00953F81" w:rsidP="00953F81">
            <w:pPr>
              <w:pStyle w:val="Heading4"/>
            </w:pPr>
            <w:r w:rsidRPr="00CB67E5">
              <w:lastRenderedPageBreak/>
              <w:t xml:space="preserve">Issue 3-2-1: Time-based triggering </w:t>
            </w:r>
            <w:proofErr w:type="spellStart"/>
            <w:r w:rsidRPr="00CB67E5">
              <w:t>Neighbour</w:t>
            </w:r>
            <w:proofErr w:type="spellEnd"/>
            <w:r w:rsidRPr="00CB67E5">
              <w:t xml:space="preserve"> cell measurements in connected mode for NB-IoT - requirement</w:t>
            </w:r>
          </w:p>
          <w:p w14:paraId="151DD452" w14:textId="77777777" w:rsidR="00953F81" w:rsidRPr="00CB67E5" w:rsidRDefault="00953F81" w:rsidP="00953F81">
            <w:pPr>
              <w:overflowPunct w:val="0"/>
              <w:autoSpaceDE w:val="0"/>
              <w:autoSpaceDN w:val="0"/>
              <w:adjustRightInd w:val="0"/>
              <w:textAlignment w:val="baseline"/>
              <w:rPr>
                <w:rFonts w:eastAsia="DengXian"/>
                <w:iCs/>
                <w:sz w:val="21"/>
                <w:szCs w:val="21"/>
                <w:lang w:eastAsia="zh-CN"/>
              </w:rPr>
            </w:pPr>
            <w:r w:rsidRPr="00CB67E5">
              <w:rPr>
                <w:rFonts w:eastAsia="DengXian"/>
                <w:iCs/>
                <w:sz w:val="21"/>
                <w:szCs w:val="21"/>
                <w:lang w:eastAsia="zh-CN"/>
              </w:rPr>
              <w:t>Agreement:</w:t>
            </w:r>
          </w:p>
          <w:p w14:paraId="34670696" w14:textId="77777777" w:rsidR="00953F81" w:rsidRPr="00CB67E5" w:rsidRDefault="00953F81" w:rsidP="00953F81">
            <w:pPr>
              <w:numPr>
                <w:ilvl w:val="0"/>
                <w:numId w:val="46"/>
              </w:numPr>
              <w:overflowPunct w:val="0"/>
              <w:autoSpaceDE w:val="0"/>
              <w:autoSpaceDN w:val="0"/>
              <w:adjustRightInd w:val="0"/>
              <w:spacing w:after="180"/>
              <w:textAlignment w:val="baseline"/>
              <w:rPr>
                <w:rFonts w:eastAsia="PMingLiU"/>
                <w:iCs/>
                <w:sz w:val="21"/>
                <w:szCs w:val="21"/>
                <w:lang w:eastAsia="zh-TW"/>
              </w:rPr>
            </w:pPr>
            <w:r w:rsidRPr="00CB67E5">
              <w:rPr>
                <w:rFonts w:eastAsia="PMingLiU"/>
                <w:iCs/>
                <w:sz w:val="21"/>
                <w:szCs w:val="21"/>
                <w:lang w:eastAsia="zh-TW"/>
              </w:rPr>
              <w:t>For NB-IoT, time-based (t-Service) measurement initiation requirements apply to earth fixed cell.</w:t>
            </w:r>
          </w:p>
          <w:p w14:paraId="6F747631" w14:textId="77777777" w:rsidR="00953F81" w:rsidRPr="00CB67E5" w:rsidRDefault="00953F81" w:rsidP="00953F81">
            <w:pPr>
              <w:numPr>
                <w:ilvl w:val="1"/>
                <w:numId w:val="46"/>
              </w:numPr>
              <w:overflowPunct w:val="0"/>
              <w:autoSpaceDE w:val="0"/>
              <w:autoSpaceDN w:val="0"/>
              <w:adjustRightInd w:val="0"/>
              <w:spacing w:after="180"/>
              <w:textAlignment w:val="baseline"/>
              <w:rPr>
                <w:rFonts w:eastAsia="PMingLiU"/>
                <w:iCs/>
                <w:sz w:val="21"/>
                <w:szCs w:val="21"/>
                <w:lang w:eastAsia="zh-TW"/>
              </w:rPr>
            </w:pPr>
            <w:r w:rsidRPr="00CB67E5">
              <w:rPr>
                <w:rFonts w:eastAsia="PMingLiU"/>
                <w:iCs/>
                <w:sz w:val="21"/>
                <w:szCs w:val="21"/>
                <w:lang w:eastAsia="zh-TW"/>
              </w:rPr>
              <w:t>RAN4 understand that the exact time for UE to start the measurement is up to UE implementation according to RAN2.</w:t>
            </w:r>
          </w:p>
          <w:p w14:paraId="61E71D80" w14:textId="02D41B2F" w:rsidR="00953F81" w:rsidRPr="00CB67E5" w:rsidRDefault="00953F81" w:rsidP="00953F81">
            <w:pPr>
              <w:numPr>
                <w:ilvl w:val="1"/>
                <w:numId w:val="46"/>
              </w:numPr>
              <w:overflowPunct w:val="0"/>
              <w:autoSpaceDE w:val="0"/>
              <w:autoSpaceDN w:val="0"/>
              <w:adjustRightInd w:val="0"/>
              <w:spacing w:after="180"/>
              <w:textAlignment w:val="baseline"/>
              <w:rPr>
                <w:rFonts w:eastAsia="PMingLiU"/>
                <w:iCs/>
                <w:sz w:val="21"/>
                <w:szCs w:val="21"/>
                <w:lang w:eastAsia="zh-TW"/>
              </w:rPr>
            </w:pPr>
            <w:r w:rsidRPr="00CB67E5">
              <w:rPr>
                <w:rFonts w:eastAsia="PMingLiU"/>
                <w:iCs/>
                <w:sz w:val="21"/>
                <w:szCs w:val="21"/>
                <w:lang w:eastAsia="zh-TW"/>
              </w:rPr>
              <w:t>FFS whether to capture the exact time for UE to start the measurement in RAN4 requirements.</w:t>
            </w:r>
          </w:p>
          <w:p w14:paraId="7A63A052" w14:textId="77777777" w:rsidR="00953F81" w:rsidRPr="00CB67E5" w:rsidRDefault="00953F81" w:rsidP="00953F81">
            <w:pPr>
              <w:numPr>
                <w:ilvl w:val="0"/>
                <w:numId w:val="46"/>
              </w:numPr>
              <w:overflowPunct w:val="0"/>
              <w:autoSpaceDE w:val="0"/>
              <w:autoSpaceDN w:val="0"/>
              <w:adjustRightInd w:val="0"/>
              <w:spacing w:after="180"/>
              <w:textAlignment w:val="baseline"/>
              <w:rPr>
                <w:rFonts w:eastAsia="PMingLiU"/>
                <w:iCs/>
                <w:sz w:val="21"/>
                <w:szCs w:val="21"/>
                <w:lang w:eastAsia="zh-TW"/>
              </w:rPr>
            </w:pPr>
            <w:r w:rsidRPr="00CB67E5">
              <w:rPr>
                <w:rFonts w:eastAsia="DengXian" w:hint="eastAsia"/>
                <w:iCs/>
                <w:sz w:val="21"/>
                <w:szCs w:val="21"/>
                <w:lang w:eastAsia="zh-CN"/>
              </w:rPr>
              <w:t>F</w:t>
            </w:r>
            <w:r w:rsidRPr="00CB67E5">
              <w:rPr>
                <w:rFonts w:eastAsia="DengXian"/>
                <w:iCs/>
                <w:sz w:val="21"/>
                <w:szCs w:val="21"/>
                <w:lang w:eastAsia="zh-CN"/>
              </w:rPr>
              <w:t xml:space="preserve">or </w:t>
            </w:r>
            <w:r w:rsidRPr="00CB67E5">
              <w:rPr>
                <w:rFonts w:eastAsia="PMingLiU"/>
                <w:iCs/>
                <w:sz w:val="21"/>
                <w:szCs w:val="21"/>
                <w:lang w:eastAsia="zh-TW"/>
              </w:rPr>
              <w:t xml:space="preserve">earth moving cell, UE shall </w:t>
            </w:r>
            <w:r w:rsidRPr="00CB67E5">
              <w:rPr>
                <w:rFonts w:eastAsia="DengXian" w:hint="eastAsia"/>
                <w:iCs/>
                <w:sz w:val="21"/>
                <w:szCs w:val="21"/>
                <w:lang w:eastAsia="zh-CN"/>
              </w:rPr>
              <w:t>i</w:t>
            </w:r>
            <w:r w:rsidRPr="00CB67E5">
              <w:rPr>
                <w:rFonts w:eastAsia="DengXian"/>
                <w:iCs/>
                <w:sz w:val="21"/>
                <w:szCs w:val="21"/>
                <w:lang w:eastAsia="zh-CN"/>
              </w:rPr>
              <w:t xml:space="preserve">nitiate </w:t>
            </w:r>
            <w:r w:rsidRPr="00CB67E5">
              <w:rPr>
                <w:rFonts w:eastAsia="PMingLiU"/>
                <w:iCs/>
                <w:sz w:val="21"/>
                <w:szCs w:val="21"/>
                <w:lang w:eastAsia="zh-TW"/>
              </w:rPr>
              <w:t xml:space="preserve">the measurement before losing its coverage and this needs to </w:t>
            </w:r>
            <w:proofErr w:type="gramStart"/>
            <w:r w:rsidRPr="00CB67E5">
              <w:rPr>
                <w:rFonts w:eastAsia="PMingLiU"/>
                <w:iCs/>
                <w:sz w:val="21"/>
                <w:szCs w:val="21"/>
                <w:lang w:eastAsia="zh-TW"/>
              </w:rPr>
              <w:t>reflected</w:t>
            </w:r>
            <w:proofErr w:type="gramEnd"/>
            <w:r w:rsidRPr="00CB67E5">
              <w:rPr>
                <w:rFonts w:eastAsia="PMingLiU"/>
                <w:iCs/>
                <w:sz w:val="21"/>
                <w:szCs w:val="21"/>
                <w:lang w:eastAsia="zh-TW"/>
              </w:rPr>
              <w:t xml:space="preserve"> in RAN4 requirements.</w:t>
            </w:r>
          </w:p>
          <w:p w14:paraId="5B0A6E69" w14:textId="77777777" w:rsidR="00953F81" w:rsidRPr="00CB67E5" w:rsidRDefault="00953F81" w:rsidP="00953F81">
            <w:pPr>
              <w:numPr>
                <w:ilvl w:val="1"/>
                <w:numId w:val="46"/>
              </w:numPr>
              <w:overflowPunct w:val="0"/>
              <w:autoSpaceDE w:val="0"/>
              <w:autoSpaceDN w:val="0"/>
              <w:adjustRightInd w:val="0"/>
              <w:spacing w:after="180"/>
              <w:textAlignment w:val="baseline"/>
              <w:rPr>
                <w:rFonts w:eastAsia="PMingLiU"/>
                <w:iCs/>
                <w:sz w:val="21"/>
                <w:szCs w:val="21"/>
                <w:lang w:eastAsia="zh-TW"/>
              </w:rPr>
            </w:pPr>
            <w:r w:rsidRPr="00CB67E5">
              <w:rPr>
                <w:rFonts w:eastAsia="PMingLiU"/>
                <w:iCs/>
                <w:sz w:val="21"/>
                <w:szCs w:val="21"/>
                <w:lang w:eastAsia="zh-TW"/>
              </w:rPr>
              <w:t>RAN4 understand that the exact time for UE to start the measurement is up to UE implementation according to RAN2.</w:t>
            </w:r>
          </w:p>
          <w:p w14:paraId="3A3A9F77" w14:textId="1E2398DE" w:rsidR="00953F81" w:rsidRPr="00CB67E5" w:rsidRDefault="00953F81" w:rsidP="00953F81">
            <w:pPr>
              <w:numPr>
                <w:ilvl w:val="1"/>
                <w:numId w:val="46"/>
              </w:numPr>
              <w:overflowPunct w:val="0"/>
              <w:autoSpaceDE w:val="0"/>
              <w:autoSpaceDN w:val="0"/>
              <w:adjustRightInd w:val="0"/>
              <w:spacing w:after="180"/>
              <w:textAlignment w:val="baseline"/>
              <w:rPr>
                <w:rFonts w:eastAsia="PMingLiU"/>
                <w:iCs/>
                <w:sz w:val="21"/>
                <w:szCs w:val="21"/>
                <w:lang w:eastAsia="zh-TW"/>
              </w:rPr>
            </w:pPr>
            <w:r w:rsidRPr="00CB67E5">
              <w:rPr>
                <w:rFonts w:eastAsia="PMingLiU"/>
                <w:iCs/>
                <w:sz w:val="21"/>
                <w:szCs w:val="21"/>
                <w:lang w:eastAsia="zh-TW"/>
              </w:rPr>
              <w:t>FFS whether to capture the exact time for UE to start the measurement in RAN4 requirements.</w:t>
            </w:r>
          </w:p>
          <w:p w14:paraId="2E0A5BD7" w14:textId="77777777" w:rsidR="007A0B32" w:rsidRDefault="007A0B32" w:rsidP="00B90E87"/>
        </w:tc>
      </w:tr>
    </w:tbl>
    <w:p w14:paraId="3443E97D" w14:textId="77777777" w:rsidR="007A0B32" w:rsidRDefault="007A0B32" w:rsidP="00B90E87"/>
    <w:p w14:paraId="566850D2" w14:textId="1EB39BF9" w:rsidR="00953F81" w:rsidRDefault="00953F81" w:rsidP="00B90E87">
      <w:r>
        <w:t>A few considerations need to be made here regarding the first agreement:</w:t>
      </w:r>
    </w:p>
    <w:p w14:paraId="44BCAFEA" w14:textId="5D04E27C" w:rsidR="00953F81" w:rsidRDefault="00953F81" w:rsidP="00953F81">
      <w:pPr>
        <w:pStyle w:val="ListParagraph"/>
        <w:numPr>
          <w:ilvl w:val="0"/>
          <w:numId w:val="47"/>
        </w:numPr>
      </w:pPr>
      <w:r>
        <w:t xml:space="preserve">The formula provided is not very precise and cannot be used, as it leads to potential errors. It does not capture the situations where </w:t>
      </w:r>
      <w:proofErr w:type="spellStart"/>
      <w:r>
        <w:t>K_Satellite</w:t>
      </w:r>
      <w:proofErr w:type="spellEnd"/>
      <w:r>
        <w:t xml:space="preserve"> is different for different frequency layers. </w:t>
      </w:r>
    </w:p>
    <w:p w14:paraId="622737ED" w14:textId="70127647" w:rsidR="00953F81" w:rsidRDefault="00953F81" w:rsidP="00953F81">
      <w:pPr>
        <w:pStyle w:val="ListParagraph"/>
        <w:numPr>
          <w:ilvl w:val="0"/>
          <w:numId w:val="47"/>
        </w:numPr>
      </w:pPr>
      <w:r>
        <w:t xml:space="preserve">The time to detect, and time to measure can only be set as </w:t>
      </w:r>
      <w:r w:rsidR="00CF18A9">
        <w:t xml:space="preserve">a </w:t>
      </w:r>
      <w:r>
        <w:t xml:space="preserve">requirement if the point in time where the UE shall start the measurements is known. For legacy NB-IoT operations, the conditions are applicable </w:t>
      </w:r>
      <w:proofErr w:type="gramStart"/>
      <w:r>
        <w:t>at the moment</w:t>
      </w:r>
      <w:proofErr w:type="gramEnd"/>
      <w:r>
        <w:t xml:space="preserve"> the serving cell quality drops below a certain threshold. But for time-based measurement initiation, the requirements can only be applicable when </w:t>
      </w:r>
      <w:r w:rsidR="00472567">
        <w:t xml:space="preserve">a point in time has been decided for the measurements to start. </w:t>
      </w:r>
    </w:p>
    <w:p w14:paraId="7C782F6B" w14:textId="269298C4" w:rsidR="00472567" w:rsidRDefault="00472567" w:rsidP="00472567">
      <w:pPr>
        <w:pStyle w:val="RAN4observation0"/>
      </w:pPr>
      <w:bookmarkStart w:id="13" w:name="_Toc149938149"/>
      <w:r>
        <w:t>If no time-based trigger is used for starting the measurements, the requirements for time-based measurement initiation are not applicable.</w:t>
      </w:r>
      <w:bookmarkEnd w:id="13"/>
      <w:r>
        <w:t xml:space="preserve"> </w:t>
      </w:r>
    </w:p>
    <w:p w14:paraId="38A479C2" w14:textId="31B628B1" w:rsidR="000573D3" w:rsidRDefault="00B96A82" w:rsidP="00B90E87">
      <w:r>
        <w:t xml:space="preserve">The most obvious time-based trigger is given by t-service, but </w:t>
      </w:r>
      <w:r w:rsidR="00D154C0">
        <w:t xml:space="preserve">as RAN2 indicates in their agreements, measurements shall be initiated before t-service, </w:t>
      </w:r>
      <w:r w:rsidR="006A5BF6">
        <w:t xml:space="preserve">as it is already too late to start measurements when the serving cell is gone (RLF procedure is triggered). </w:t>
      </w:r>
      <w:r w:rsidR="00311E81">
        <w:t xml:space="preserve">Therefore, the measurements should be started before t-service, but not too early, </w:t>
      </w:r>
      <w:r w:rsidR="00311E81" w:rsidRPr="00472567">
        <w:rPr>
          <w:u w:val="single"/>
        </w:rPr>
        <w:t>to avoid UE wasting its power</w:t>
      </w:r>
      <w:r w:rsidR="002B37C3">
        <w:t xml:space="preserve">. </w:t>
      </w:r>
      <w:r w:rsidR="00224585">
        <w:t xml:space="preserve"> </w:t>
      </w:r>
    </w:p>
    <w:p w14:paraId="109FA363" w14:textId="45D9763A" w:rsidR="00224585" w:rsidRDefault="00224585" w:rsidP="00B90E87">
      <w:r>
        <w:t xml:space="preserve">However, as previously discussed, it is convenient to consider the adoption of </w:t>
      </w:r>
      <w:r w:rsidRPr="00472567">
        <w:rPr>
          <w:i/>
          <w:iCs/>
        </w:rPr>
        <w:t>t-</w:t>
      </w:r>
      <w:proofErr w:type="spellStart"/>
      <w:r w:rsidRPr="00472567">
        <w:rPr>
          <w:i/>
          <w:iCs/>
        </w:rPr>
        <w:t>serviceStart</w:t>
      </w:r>
      <w:proofErr w:type="spellEnd"/>
      <w:r>
        <w:t xml:space="preserve"> </w:t>
      </w:r>
      <w:r w:rsidR="0094617C">
        <w:t>as a reference point to star</w:t>
      </w:r>
      <w:r w:rsidR="00EE5630">
        <w:t>t</w:t>
      </w:r>
      <w:r w:rsidR="0094617C">
        <w:t xml:space="preserve"> the neighbor cell measurements, </w:t>
      </w:r>
      <w:proofErr w:type="gramStart"/>
      <w:r w:rsidR="0094617C">
        <w:t>in order to</w:t>
      </w:r>
      <w:proofErr w:type="gramEnd"/>
      <w:r w:rsidR="0094617C">
        <w:t xml:space="preserve"> avoid </w:t>
      </w:r>
      <w:r w:rsidR="00ED5245">
        <w:t xml:space="preserve">waste of UE power. </w:t>
      </w:r>
      <w:r w:rsidR="006773F6">
        <w:t xml:space="preserve">The absence of useful triggers </w:t>
      </w:r>
      <w:r w:rsidR="006773F6" w:rsidRPr="006773F6">
        <w:rPr>
          <w:i/>
          <w:iCs/>
        </w:rPr>
        <w:t>when t-</w:t>
      </w:r>
      <w:proofErr w:type="spellStart"/>
      <w:r w:rsidR="006773F6" w:rsidRPr="006773F6">
        <w:rPr>
          <w:i/>
          <w:iCs/>
        </w:rPr>
        <w:t>serviceStartNeigh</w:t>
      </w:r>
      <w:proofErr w:type="spellEnd"/>
      <w:r w:rsidR="006773F6">
        <w:t xml:space="preserve"> is not provided, on the other hand, makes very difficult to establish a point in time where the UE should start the measurements. </w:t>
      </w:r>
    </w:p>
    <w:p w14:paraId="3F113F7C" w14:textId="734317C1" w:rsidR="002B37C3" w:rsidRDefault="00A82BF7" w:rsidP="00A82BF7">
      <w:pPr>
        <w:pStyle w:val="RAN4proposal"/>
      </w:pPr>
      <w:bookmarkStart w:id="14" w:name="_Toc149938150"/>
      <w:r>
        <w:t>NB-IoT UE shall start</w:t>
      </w:r>
      <w:r w:rsidR="00472567">
        <w:t xml:space="preserve"> time-based</w:t>
      </w:r>
      <w:r>
        <w:t xml:space="preserve"> </w:t>
      </w:r>
      <w:r w:rsidR="000771A2">
        <w:t>neighbor cell measurements</w:t>
      </w:r>
      <w:r w:rsidR="00472567">
        <w:t>:</w:t>
      </w:r>
      <w:bookmarkEnd w:id="14"/>
    </w:p>
    <w:p w14:paraId="1216B1AF" w14:textId="19E35AEF" w:rsidR="00472567" w:rsidRDefault="00472567" w:rsidP="00472567">
      <w:pPr>
        <w:pStyle w:val="RAN4proposal"/>
        <w:numPr>
          <w:ilvl w:val="1"/>
          <w:numId w:val="7"/>
        </w:numPr>
      </w:pPr>
      <w:bookmarkStart w:id="15" w:name="_Toc149938151"/>
      <w:r>
        <w:t>If no t-</w:t>
      </w:r>
      <w:proofErr w:type="spellStart"/>
      <w:r>
        <w:t>serviceStartNeigh</w:t>
      </w:r>
      <w:proofErr w:type="spellEnd"/>
      <w:r>
        <w:t xml:space="preserve"> is provided, it is up for UE </w:t>
      </w:r>
      <w:proofErr w:type="gramStart"/>
      <w:r>
        <w:t>implementation</w:t>
      </w:r>
      <w:bookmarkEnd w:id="15"/>
      <w:proofErr w:type="gramEnd"/>
    </w:p>
    <w:p w14:paraId="64EE9F99" w14:textId="4DB524C4" w:rsidR="006773F6" w:rsidRDefault="00472567" w:rsidP="001B2974">
      <w:pPr>
        <w:pStyle w:val="RAN4proposal"/>
        <w:numPr>
          <w:ilvl w:val="1"/>
          <w:numId w:val="7"/>
        </w:numPr>
      </w:pPr>
      <w:bookmarkStart w:id="16" w:name="_Toc149938152"/>
      <w:r>
        <w:t>If t-</w:t>
      </w:r>
      <w:proofErr w:type="spellStart"/>
      <w:r>
        <w:t>serviceStartNeigh</w:t>
      </w:r>
      <w:proofErr w:type="spellEnd"/>
      <w:r>
        <w:t xml:space="preserve"> is provided for the neighbor cells, measurements shall start at </w:t>
      </w:r>
      <w:proofErr w:type="spellStart"/>
      <w:r w:rsidR="005F0868" w:rsidRPr="005F0868">
        <w:t>tinitiate_inter</w:t>
      </w:r>
      <w:proofErr w:type="spellEnd"/>
      <w:r w:rsidR="005F0868" w:rsidRPr="005F0868">
        <w:t xml:space="preserve"> = m</w:t>
      </w:r>
      <w:r w:rsidR="00213D3C">
        <w:t>in</w:t>
      </w:r>
      <w:r w:rsidR="005F0868" w:rsidRPr="005F0868">
        <w:t xml:space="preserve">( [Y] DRX Cycles, </w:t>
      </w:r>
      <w:proofErr w:type="spellStart"/>
      <w:r w:rsidR="005F0868" w:rsidRPr="005F0868">
        <w:t>tService-tServiceStart</w:t>
      </w:r>
      <w:r w:rsidR="005F0868">
        <w:t>Neigh</w:t>
      </w:r>
      <w:proofErr w:type="spellEnd"/>
      <w:r w:rsidR="005F0868" w:rsidRPr="005F0868">
        <w:t>) before</w:t>
      </w:r>
      <w:r w:rsidR="005F0868">
        <w:t xml:space="preserve"> t-service</w:t>
      </w:r>
      <w:bookmarkEnd w:id="16"/>
    </w:p>
    <w:p w14:paraId="53446FD2" w14:textId="6BCC6528" w:rsidR="006773F6" w:rsidRPr="006773F6" w:rsidRDefault="006773F6" w:rsidP="001B2974">
      <w:pPr>
        <w:rPr>
          <w:b/>
          <w:bCs/>
        </w:rPr>
      </w:pPr>
      <w:r w:rsidRPr="006773F6">
        <w:t>For the location</w:t>
      </w:r>
      <w:r w:rsidRPr="006773F6">
        <w:rPr>
          <w:bCs/>
        </w:rPr>
        <w:t>-based measurement initiation, which was left as an FFS from the previous meeting,</w:t>
      </w:r>
      <w:r w:rsidR="002B2D61">
        <w:rPr>
          <w:bCs/>
        </w:rPr>
        <w:t xml:space="preserve"> RAN4 has agreed to discuss whether it would derive requirements for this operation. However, i</w:t>
      </w:r>
      <w:r w:rsidRPr="006773F6">
        <w:rPr>
          <w:bCs/>
        </w:rPr>
        <w:t xml:space="preserve">t is not possible to establish a point in time where the UE will lose coverage from the serving cell, without adopting rules that are too speculative. </w:t>
      </w:r>
    </w:p>
    <w:p w14:paraId="552F9DD3" w14:textId="6F35D2C3" w:rsidR="006773F6" w:rsidRPr="006773F6" w:rsidRDefault="006773F6" w:rsidP="006773F6">
      <w:pPr>
        <w:pStyle w:val="RAN4proposal"/>
      </w:pPr>
      <w:bookmarkStart w:id="17" w:name="_Toc149938153"/>
      <w:r>
        <w:t xml:space="preserve">Do not define a point in time for UE to initiate measurements before losing its coverage on Earth Moving </w:t>
      </w:r>
      <w:r w:rsidR="00CC0D0D">
        <w:t xml:space="preserve">Cell </w:t>
      </w:r>
      <w:r>
        <w:t>scenarios (for both NB-IoT and eMTC).</w:t>
      </w:r>
      <w:bookmarkEnd w:id="17"/>
      <w:r>
        <w:t xml:space="preserve"> </w:t>
      </w:r>
    </w:p>
    <w:p w14:paraId="482ABBF5" w14:textId="77777777" w:rsidR="006773F6" w:rsidRDefault="006773F6" w:rsidP="006773F6">
      <w:pPr>
        <w:pStyle w:val="RAN4proposal"/>
        <w:numPr>
          <w:ilvl w:val="0"/>
          <w:numId w:val="0"/>
        </w:numPr>
        <w:ind w:left="4962"/>
      </w:pPr>
    </w:p>
    <w:p w14:paraId="14DF13FA" w14:textId="77777777" w:rsidR="006773F6" w:rsidRDefault="006773F6" w:rsidP="006773F6">
      <w:pPr>
        <w:pStyle w:val="RAN4proposal"/>
        <w:numPr>
          <w:ilvl w:val="0"/>
          <w:numId w:val="0"/>
        </w:numPr>
        <w:ind w:left="4962"/>
      </w:pPr>
    </w:p>
    <w:p w14:paraId="4793C9FF" w14:textId="6845BE95" w:rsidR="00551AAE" w:rsidRDefault="00551AAE" w:rsidP="00551AAE">
      <w:pPr>
        <w:pStyle w:val="RAN4H3"/>
      </w:pPr>
      <w:r w:rsidRPr="00551AAE">
        <w:t xml:space="preserve">Time-based measurement initiation for </w:t>
      </w:r>
      <w:r>
        <w:t>eMTC</w:t>
      </w:r>
    </w:p>
    <w:p w14:paraId="501F46B4" w14:textId="5B38CA29" w:rsidR="00551AAE" w:rsidRDefault="00D24A1F" w:rsidP="00D24A1F">
      <w:r>
        <w:lastRenderedPageBreak/>
        <w:t>For eMTC measurements</w:t>
      </w:r>
      <w:r w:rsidR="008F7A85">
        <w:t xml:space="preserve"> in NGSO (where time-based triggers are applicable) the UE might not be capable to initiate the following set of measurements:</w:t>
      </w:r>
    </w:p>
    <w:p w14:paraId="34C6231C" w14:textId="22B4C1F5" w:rsidR="001F540D" w:rsidRDefault="001F540D" w:rsidP="001F540D">
      <w:pPr>
        <w:pStyle w:val="ListParagraph"/>
        <w:numPr>
          <w:ilvl w:val="0"/>
          <w:numId w:val="41"/>
        </w:numPr>
      </w:pPr>
      <w:r>
        <w:t>Inter-frequency measurements</w:t>
      </w:r>
    </w:p>
    <w:p w14:paraId="4109798C" w14:textId="48AC1776" w:rsidR="001F540D" w:rsidRDefault="001F540D" w:rsidP="001F540D">
      <w:pPr>
        <w:pStyle w:val="ListParagraph"/>
        <w:numPr>
          <w:ilvl w:val="0"/>
          <w:numId w:val="41"/>
        </w:numPr>
      </w:pPr>
      <w:r>
        <w:t xml:space="preserve">Intra-frequency measurements in a neighbor satellite. </w:t>
      </w:r>
    </w:p>
    <w:p w14:paraId="21860B38" w14:textId="6F8EC371" w:rsidR="001F540D" w:rsidRDefault="001F540D" w:rsidP="001F540D">
      <w:r>
        <w:t xml:space="preserve">The reason is that in both cases, the UE requires Measurement Gaps to perform these measurements. </w:t>
      </w:r>
    </w:p>
    <w:p w14:paraId="5DCF7C31" w14:textId="37DDCAFD" w:rsidR="001F540D" w:rsidRDefault="001F540D" w:rsidP="001F540D">
      <w:pPr>
        <w:pStyle w:val="RAN4proposal"/>
      </w:pPr>
      <w:bookmarkStart w:id="18" w:name="_Toc149938154"/>
      <w:r>
        <w:t>For eMTC, time-based measurement initiation is only applicable for</w:t>
      </w:r>
      <w:r w:rsidR="00C80C2A">
        <w:t xml:space="preserve"> the cases where the UE does not require a MG (</w:t>
      </w:r>
      <w:proofErr w:type="gramStart"/>
      <w:r w:rsidR="00C80C2A">
        <w:t>e.g.</w:t>
      </w:r>
      <w:proofErr w:type="gramEnd"/>
      <w:r>
        <w:t xml:space="preserve"> </w:t>
      </w:r>
      <w:r w:rsidR="0044621B">
        <w:t>intra-frequency measurements, for cells in the same satellite, if any is configured</w:t>
      </w:r>
      <w:r w:rsidR="00C80C2A">
        <w:t>)</w:t>
      </w:r>
      <w:r w:rsidR="0044621B">
        <w:t>.</w:t>
      </w:r>
      <w:bookmarkEnd w:id="18"/>
      <w:r w:rsidR="0044621B">
        <w:t xml:space="preserve"> </w:t>
      </w:r>
    </w:p>
    <w:p w14:paraId="7798DC0B" w14:textId="77777777" w:rsidR="001B54E9" w:rsidRDefault="001B54E9" w:rsidP="001B54E9"/>
    <w:p w14:paraId="06BFE269" w14:textId="785CD18C" w:rsidR="001B54E9" w:rsidRDefault="001B54E9" w:rsidP="001B54E9">
      <w:r>
        <w:t>One of the agreements tried to establish a time trigger for the UE to start the connected mode measurements:</w:t>
      </w:r>
    </w:p>
    <w:tbl>
      <w:tblPr>
        <w:tblStyle w:val="TableGrid"/>
        <w:tblW w:w="0" w:type="auto"/>
        <w:tblLook w:val="04A0" w:firstRow="1" w:lastRow="0" w:firstColumn="1" w:lastColumn="0" w:noHBand="0" w:noVBand="1"/>
      </w:tblPr>
      <w:tblGrid>
        <w:gridCol w:w="9617"/>
      </w:tblGrid>
      <w:tr w:rsidR="001B54E9" w14:paraId="7AA05B23" w14:textId="77777777" w:rsidTr="001B54E9">
        <w:tc>
          <w:tcPr>
            <w:tcW w:w="9617" w:type="dxa"/>
          </w:tcPr>
          <w:p w14:paraId="198B73AF" w14:textId="77777777" w:rsidR="00F9517E" w:rsidRPr="002D2172" w:rsidRDefault="00F9517E" w:rsidP="00F9517E">
            <w:pPr>
              <w:overflowPunct w:val="0"/>
              <w:autoSpaceDE w:val="0"/>
              <w:autoSpaceDN w:val="0"/>
              <w:adjustRightInd w:val="0"/>
              <w:textAlignment w:val="baseline"/>
              <w:rPr>
                <w:sz w:val="21"/>
                <w:szCs w:val="21"/>
                <w:highlight w:val="green"/>
                <w:lang w:eastAsia="zh-CN"/>
              </w:rPr>
            </w:pPr>
            <w:r w:rsidRPr="002D2172">
              <w:rPr>
                <w:rFonts w:hint="eastAsia"/>
                <w:sz w:val="21"/>
                <w:szCs w:val="21"/>
                <w:highlight w:val="green"/>
                <w:lang w:eastAsia="zh-CN"/>
              </w:rPr>
              <w:t>A</w:t>
            </w:r>
            <w:r w:rsidRPr="002D2172">
              <w:rPr>
                <w:sz w:val="21"/>
                <w:szCs w:val="21"/>
                <w:highlight w:val="green"/>
                <w:lang w:eastAsia="zh-CN"/>
              </w:rPr>
              <w:t xml:space="preserve">greement: </w:t>
            </w:r>
          </w:p>
          <w:p w14:paraId="15E1B301" w14:textId="77777777" w:rsidR="00F9517E" w:rsidRPr="002D2172" w:rsidRDefault="00F9517E" w:rsidP="00F9517E">
            <w:pPr>
              <w:pStyle w:val="ListParagraph"/>
              <w:numPr>
                <w:ilvl w:val="0"/>
                <w:numId w:val="48"/>
              </w:numPr>
              <w:overflowPunct w:val="0"/>
              <w:autoSpaceDE w:val="0"/>
              <w:autoSpaceDN w:val="0"/>
              <w:adjustRightInd w:val="0"/>
              <w:spacing w:after="120" w:line="252" w:lineRule="auto"/>
              <w:contextualSpacing w:val="0"/>
              <w:textAlignment w:val="baseline"/>
              <w:rPr>
                <w:bCs/>
                <w:szCs w:val="24"/>
                <w:highlight w:val="green"/>
                <w:lang w:eastAsia="en-GB"/>
              </w:rPr>
            </w:pPr>
            <w:r w:rsidRPr="002D2172">
              <w:rPr>
                <w:bCs/>
                <w:szCs w:val="24"/>
                <w:highlight w:val="green"/>
                <w:lang w:eastAsia="en-GB"/>
              </w:rPr>
              <w:t>Trigger is defined as Max (</w:t>
            </w:r>
            <w:proofErr w:type="spellStart"/>
            <w:r w:rsidRPr="002D2172">
              <w:rPr>
                <w:bCs/>
                <w:highlight w:val="green"/>
              </w:rPr>
              <w:t>T</w:t>
            </w:r>
            <w:r w:rsidRPr="002D2172">
              <w:rPr>
                <w:bCs/>
                <w:highlight w:val="green"/>
                <w:vertAlign w:val="subscript"/>
              </w:rPr>
              <w:t>identify_intra_UE</w:t>
            </w:r>
            <w:proofErr w:type="spellEnd"/>
            <w:r w:rsidRPr="002D2172">
              <w:rPr>
                <w:bCs/>
                <w:highlight w:val="green"/>
                <w:vertAlign w:val="subscript"/>
              </w:rPr>
              <w:t xml:space="preserve"> cat M1</w:t>
            </w:r>
            <w:r w:rsidRPr="002D2172">
              <w:rPr>
                <w:bCs/>
                <w:highlight w:val="green"/>
                <w:vertAlign w:val="subscript"/>
              </w:rPr>
              <w:softHyphen/>
            </w:r>
            <w:r w:rsidRPr="002D2172">
              <w:rPr>
                <w:bCs/>
                <w:highlight w:val="green"/>
              </w:rPr>
              <w:t xml:space="preserve">, </w:t>
            </w:r>
            <w:proofErr w:type="spellStart"/>
            <w:r w:rsidRPr="002D2172">
              <w:rPr>
                <w:bCs/>
                <w:highlight w:val="green"/>
              </w:rPr>
              <w:t>T</w:t>
            </w:r>
            <w:r w:rsidRPr="002D2172">
              <w:rPr>
                <w:bCs/>
                <w:highlight w:val="green"/>
                <w:vertAlign w:val="subscript"/>
              </w:rPr>
              <w:t>identify_inter_UE</w:t>
            </w:r>
            <w:proofErr w:type="spellEnd"/>
            <w:r w:rsidRPr="002D2172">
              <w:rPr>
                <w:bCs/>
                <w:highlight w:val="green"/>
                <w:vertAlign w:val="subscript"/>
              </w:rPr>
              <w:t xml:space="preserve"> cat M1</w:t>
            </w:r>
            <w:r w:rsidRPr="002D2172">
              <w:rPr>
                <w:bCs/>
                <w:szCs w:val="24"/>
                <w:highlight w:val="green"/>
                <w:lang w:eastAsia="en-GB"/>
              </w:rPr>
              <w:t>)</w:t>
            </w:r>
          </w:p>
          <w:p w14:paraId="0D727287" w14:textId="77777777" w:rsidR="001B54E9" w:rsidRDefault="001B54E9" w:rsidP="001B54E9"/>
        </w:tc>
      </w:tr>
    </w:tbl>
    <w:p w14:paraId="7424CA2E" w14:textId="77777777" w:rsidR="001B54E9" w:rsidRDefault="001B54E9" w:rsidP="001B54E9"/>
    <w:p w14:paraId="7ED8377F" w14:textId="5CD23E88" w:rsidR="00F9517E" w:rsidRDefault="00F9517E" w:rsidP="001B54E9">
      <w:r>
        <w:t>However, assuming inter-frequency measurements cannot be performed in the absence of MGs, then:</w:t>
      </w:r>
    </w:p>
    <w:p w14:paraId="42052590" w14:textId="5C02A313" w:rsidR="00F9517E" w:rsidRDefault="00F9517E" w:rsidP="00F9517E">
      <w:pPr>
        <w:pStyle w:val="RAN4proposal"/>
      </w:pPr>
      <w:bookmarkStart w:id="19" w:name="_Toc149938155"/>
      <w:r>
        <w:t>Revise the agreement for T trigger, to include only the measurements where a MG is not needed.</w:t>
      </w:r>
      <w:bookmarkEnd w:id="19"/>
      <w:r>
        <w:t xml:space="preserve"> </w:t>
      </w:r>
    </w:p>
    <w:p w14:paraId="58803DF1" w14:textId="1289D16E" w:rsidR="00213D3C" w:rsidRPr="00213D3C" w:rsidRDefault="00213D3C" w:rsidP="00213D3C">
      <w:pPr>
        <w:pStyle w:val="RAN4proposal"/>
      </w:pPr>
      <w:bookmarkStart w:id="20" w:name="_Toc149938156"/>
      <w:r>
        <w:t>Discuss the effect of t-</w:t>
      </w:r>
      <w:proofErr w:type="spellStart"/>
      <w:r>
        <w:t>serviceStartNeigh</w:t>
      </w:r>
      <w:proofErr w:type="spellEnd"/>
      <w:r>
        <w:t xml:space="preserve"> on </w:t>
      </w:r>
      <w:proofErr w:type="spellStart"/>
      <w:proofErr w:type="gramStart"/>
      <w:r w:rsidR="002B2D61">
        <w:t>Ttrigger</w:t>
      </w:r>
      <w:bookmarkEnd w:id="20"/>
      <w:proofErr w:type="spellEnd"/>
      <w:proofErr w:type="gramEnd"/>
    </w:p>
    <w:p w14:paraId="75176D26" w14:textId="7CC68542" w:rsidR="008F7A85" w:rsidRDefault="008F7A85" w:rsidP="008F7A85">
      <w:pPr>
        <w:pStyle w:val="ListParagraph"/>
      </w:pPr>
    </w:p>
    <w:p w14:paraId="4DB12633" w14:textId="2DBA3822" w:rsidR="006F0D44" w:rsidRDefault="006F0D44" w:rsidP="006F0D44">
      <w:pPr>
        <w:pStyle w:val="RAN4H3"/>
      </w:pPr>
      <w:r>
        <w:t>Location</w:t>
      </w:r>
      <w:r w:rsidRPr="00551AAE">
        <w:t xml:space="preserve">-based measurement initiation for </w:t>
      </w:r>
      <w:r>
        <w:t>eMTC</w:t>
      </w:r>
    </w:p>
    <w:p w14:paraId="40BA7F44" w14:textId="4B5651EB" w:rsidR="006F0D44" w:rsidRDefault="006F0D44" w:rsidP="006F0D44">
      <w:r>
        <w:t xml:space="preserve">One of the previous agreements was to further discuss the application of location-based connected mode measurement initiation. But the same considerations made for the time-based measurement initiation are still valid: </w:t>
      </w:r>
      <w:proofErr w:type="gramStart"/>
      <w:r>
        <w:t>a</w:t>
      </w:r>
      <w:proofErr w:type="gramEnd"/>
      <w:r>
        <w:t xml:space="preserve"> eMTC UE cannot perform certain types of measurements if MGs are not provided. Therefore, similarly, we propose:</w:t>
      </w:r>
    </w:p>
    <w:p w14:paraId="44E66A40" w14:textId="428F419D" w:rsidR="006F0D44" w:rsidRDefault="006F0D44" w:rsidP="006F0D44">
      <w:pPr>
        <w:pStyle w:val="RAN4proposal"/>
      </w:pPr>
      <w:bookmarkStart w:id="21" w:name="_Toc149938157"/>
      <w:r>
        <w:t>For eMTC, location-based measurement initiation is only applicable for the cases where the UE does not require a MG (</w:t>
      </w:r>
      <w:proofErr w:type="gramStart"/>
      <w:r>
        <w:t>e.g.</w:t>
      </w:r>
      <w:proofErr w:type="gramEnd"/>
      <w:r>
        <w:t xml:space="preserve"> intra-frequency measurements, for cells in the same satellite, if any is configured).</w:t>
      </w:r>
      <w:bookmarkEnd w:id="21"/>
      <w:r>
        <w:t xml:space="preserve"> </w:t>
      </w:r>
    </w:p>
    <w:p w14:paraId="23A336A0" w14:textId="77777777" w:rsidR="00564074" w:rsidRPr="00564074" w:rsidRDefault="00564074" w:rsidP="00564074"/>
    <w:p w14:paraId="6D6D4CA0" w14:textId="3A7E26AF" w:rsidR="00564074" w:rsidRDefault="00564074" w:rsidP="00564074">
      <w:pPr>
        <w:pStyle w:val="RAN4H3"/>
      </w:pPr>
      <w:r>
        <w:t xml:space="preserve">Measurement gap considerations in the absence of neighbor cell. </w:t>
      </w:r>
    </w:p>
    <w:p w14:paraId="2FF7FD23" w14:textId="77777777" w:rsidR="00564074" w:rsidRDefault="00564074" w:rsidP="00564074"/>
    <w:p w14:paraId="1EF5021A" w14:textId="351778FD" w:rsidR="00564074" w:rsidRDefault="00564074" w:rsidP="00564074">
      <w:r>
        <w:t xml:space="preserve">When an eMTC UE is configured with a </w:t>
      </w:r>
      <w:proofErr w:type="spellStart"/>
      <w:r>
        <w:t>MeasObj</w:t>
      </w:r>
      <w:proofErr w:type="spellEnd"/>
      <w:r>
        <w:t xml:space="preserve">, it </w:t>
      </w:r>
      <w:proofErr w:type="gramStart"/>
      <w:r>
        <w:t>has to</w:t>
      </w:r>
      <w:proofErr w:type="gramEnd"/>
      <w:r>
        <w:t xml:space="preserve"> perform measurements in the measurement gaps provided for that object. However, it might be that, in NTN, the UE knows beforehand that the neighbor cell will not be present for measurements before a certain point in time (</w:t>
      </w:r>
      <w:r w:rsidRPr="00564074">
        <w:rPr>
          <w:i/>
          <w:iCs/>
        </w:rPr>
        <w:t>t-</w:t>
      </w:r>
      <w:proofErr w:type="spellStart"/>
      <w:r w:rsidRPr="00564074">
        <w:rPr>
          <w:i/>
          <w:iCs/>
        </w:rPr>
        <w:t>ServiceStartNeigh</w:t>
      </w:r>
      <w:proofErr w:type="spellEnd"/>
      <w:r>
        <w:t>). This issue was captured in previous RAN4 WF:</w:t>
      </w:r>
    </w:p>
    <w:tbl>
      <w:tblPr>
        <w:tblStyle w:val="TableGrid"/>
        <w:tblW w:w="0" w:type="auto"/>
        <w:tblLook w:val="04A0" w:firstRow="1" w:lastRow="0" w:firstColumn="1" w:lastColumn="0" w:noHBand="0" w:noVBand="1"/>
      </w:tblPr>
      <w:tblGrid>
        <w:gridCol w:w="9617"/>
      </w:tblGrid>
      <w:tr w:rsidR="00564074" w14:paraId="3ECD2286" w14:textId="77777777" w:rsidTr="00564074">
        <w:tc>
          <w:tcPr>
            <w:tcW w:w="9617" w:type="dxa"/>
          </w:tcPr>
          <w:p w14:paraId="0B5F6709" w14:textId="77777777" w:rsidR="00A16EDB" w:rsidRPr="00CB67E5" w:rsidRDefault="00A16EDB" w:rsidP="00A16EDB">
            <w:pPr>
              <w:pStyle w:val="Heading4"/>
            </w:pPr>
            <w:r w:rsidRPr="00CB67E5">
              <w:t xml:space="preserve">Issue 3-5 (new): Time-based triggering </w:t>
            </w:r>
            <w:proofErr w:type="spellStart"/>
            <w:r w:rsidRPr="00CB67E5">
              <w:t>Neighbour</w:t>
            </w:r>
            <w:proofErr w:type="spellEnd"/>
            <w:r w:rsidRPr="00CB67E5">
              <w:t xml:space="preserve"> cell measurements in connected mode for eMTC – impact on measurement gap</w:t>
            </w:r>
          </w:p>
          <w:p w14:paraId="6600883A" w14:textId="77777777" w:rsidR="00A16EDB" w:rsidRPr="00CB67E5" w:rsidRDefault="00A16EDB" w:rsidP="00A16EDB">
            <w:pPr>
              <w:rPr>
                <w:rFonts w:eastAsia="PMingLiU"/>
                <w:bCs/>
                <w:iCs/>
                <w:szCs w:val="18"/>
                <w:lang w:eastAsia="zh-TW"/>
              </w:rPr>
            </w:pPr>
            <w:r w:rsidRPr="00CB67E5">
              <w:rPr>
                <w:rFonts w:eastAsia="PMingLiU"/>
                <w:bCs/>
                <w:iCs/>
                <w:szCs w:val="18"/>
                <w:lang w:eastAsia="zh-TW"/>
              </w:rPr>
              <w:t xml:space="preserve">Discuss until the next meeting: </w:t>
            </w:r>
          </w:p>
          <w:p w14:paraId="3D770F9B" w14:textId="77777777" w:rsidR="00A16EDB" w:rsidRPr="00442249" w:rsidRDefault="00A16EDB" w:rsidP="00A16EDB">
            <w:pPr>
              <w:pStyle w:val="ListParagraph"/>
              <w:numPr>
                <w:ilvl w:val="0"/>
                <w:numId w:val="49"/>
              </w:numPr>
              <w:overflowPunct w:val="0"/>
              <w:autoSpaceDE w:val="0"/>
              <w:autoSpaceDN w:val="0"/>
              <w:adjustRightInd w:val="0"/>
              <w:spacing w:after="180"/>
              <w:contextualSpacing w:val="0"/>
              <w:textAlignment w:val="baseline"/>
              <w:rPr>
                <w:rFonts w:eastAsia="Batang"/>
                <w:i/>
                <w:iCs/>
                <w:lang w:eastAsia="ko-KR"/>
              </w:rPr>
            </w:pPr>
            <w:r w:rsidRPr="00442249">
              <w:rPr>
                <w:rFonts w:eastAsia="PMingLiU"/>
                <w:bCs/>
                <w:iCs/>
                <w:szCs w:val="18"/>
              </w:rPr>
              <w:t xml:space="preserve">If </w:t>
            </w:r>
            <w:r w:rsidRPr="00442249">
              <w:rPr>
                <w:rFonts w:eastAsia="PMingLiU"/>
                <w:bCs/>
                <w:i/>
                <w:szCs w:val="18"/>
              </w:rPr>
              <w:t>t-</w:t>
            </w:r>
            <w:proofErr w:type="spellStart"/>
            <w:r w:rsidRPr="00442249">
              <w:rPr>
                <w:rFonts w:eastAsia="PMingLiU"/>
                <w:bCs/>
                <w:i/>
                <w:szCs w:val="18"/>
              </w:rPr>
              <w:t>ServiceStartNeigh</w:t>
            </w:r>
            <w:proofErr w:type="spellEnd"/>
            <w:r w:rsidRPr="00442249">
              <w:rPr>
                <w:rFonts w:eastAsia="PMingLiU"/>
                <w:bCs/>
                <w:iCs/>
                <w:szCs w:val="18"/>
              </w:rPr>
              <w:t xml:space="preserve"> is provided, measurement gap pattern(s) configured for </w:t>
            </w:r>
            <w:proofErr w:type="spellStart"/>
            <w:r w:rsidRPr="00442249">
              <w:rPr>
                <w:rFonts w:eastAsia="PMingLiU"/>
                <w:bCs/>
                <w:iCs/>
                <w:szCs w:val="18"/>
              </w:rPr>
              <w:t>neighbour</w:t>
            </w:r>
            <w:proofErr w:type="spellEnd"/>
            <w:r w:rsidRPr="00442249">
              <w:rPr>
                <w:rFonts w:eastAsia="PMingLiU"/>
                <w:bCs/>
                <w:iCs/>
                <w:szCs w:val="18"/>
              </w:rPr>
              <w:t xml:space="preserve"> cell measurements are suspended until time </w:t>
            </w:r>
            <w:r w:rsidRPr="00442249">
              <w:rPr>
                <w:rFonts w:eastAsia="PMingLiU"/>
                <w:bCs/>
                <w:i/>
                <w:szCs w:val="18"/>
              </w:rPr>
              <w:t>t-</w:t>
            </w:r>
            <w:proofErr w:type="spellStart"/>
            <w:r w:rsidRPr="00442249">
              <w:rPr>
                <w:rFonts w:eastAsia="PMingLiU"/>
                <w:bCs/>
                <w:i/>
                <w:szCs w:val="18"/>
              </w:rPr>
              <w:t>ServiceStartNeigh</w:t>
            </w:r>
            <w:proofErr w:type="spellEnd"/>
            <w:r w:rsidRPr="00442249">
              <w:rPr>
                <w:rFonts w:eastAsia="PMingLiU"/>
                <w:bCs/>
                <w:iCs/>
                <w:szCs w:val="18"/>
              </w:rPr>
              <w:t>.</w:t>
            </w:r>
          </w:p>
          <w:p w14:paraId="3F3DBECA" w14:textId="77777777" w:rsidR="00564074" w:rsidRDefault="00564074" w:rsidP="00564074"/>
        </w:tc>
      </w:tr>
    </w:tbl>
    <w:p w14:paraId="0B355775" w14:textId="77777777" w:rsidR="00564074" w:rsidRDefault="00564074" w:rsidP="00564074"/>
    <w:p w14:paraId="2D4BA1B5" w14:textId="22EF0025" w:rsidR="00564074" w:rsidRDefault="00A16EDB" w:rsidP="00564074">
      <w:r>
        <w:t xml:space="preserve">It is our opinion, that this is a sensible proposal, </w:t>
      </w:r>
      <w:proofErr w:type="gramStart"/>
      <w:r>
        <w:t>in order to</w:t>
      </w:r>
      <w:proofErr w:type="gramEnd"/>
      <w:r>
        <w:t xml:space="preserve"> save UE power, and we think it is an enhancement that shall be considered by RAN4:</w:t>
      </w:r>
    </w:p>
    <w:p w14:paraId="0732A8F8" w14:textId="43F989B4" w:rsidR="00A16EDB" w:rsidRDefault="00A16EDB" w:rsidP="00A16EDB">
      <w:pPr>
        <w:pStyle w:val="RAN4proposal"/>
      </w:pPr>
      <w:bookmarkStart w:id="22" w:name="_Toc149938158"/>
      <w:r>
        <w:t xml:space="preserve">If the UE is provided with MG for neighbor cell measurements, </w:t>
      </w:r>
      <w:r w:rsidR="006F026D">
        <w:t>if t-</w:t>
      </w:r>
      <w:proofErr w:type="spellStart"/>
      <w:r w:rsidR="006F026D">
        <w:t>serviceStartNeigh</w:t>
      </w:r>
      <w:proofErr w:type="spellEnd"/>
      <w:r w:rsidR="006F026D">
        <w:t xml:space="preserve"> is provided for a given frequency, the UE is allowed to </w:t>
      </w:r>
      <w:r w:rsidR="006D4159">
        <w:t xml:space="preserve">drop the MGs for that frequency. The MG might be used for measurements in different </w:t>
      </w:r>
      <w:r w:rsidR="00985F77">
        <w:t>frequencies.</w:t>
      </w:r>
      <w:bookmarkEnd w:id="22"/>
      <w:r w:rsidR="00985F77">
        <w:t xml:space="preserve"> </w:t>
      </w:r>
    </w:p>
    <w:p w14:paraId="27052468" w14:textId="77777777" w:rsidR="001B54E9" w:rsidRPr="00551AAE" w:rsidRDefault="001B54E9" w:rsidP="006F0D44"/>
    <w:p w14:paraId="1469A61A" w14:textId="77777777" w:rsidR="00F15CA0" w:rsidRPr="00F15CA0" w:rsidRDefault="00F15CA0" w:rsidP="00F15CA0"/>
    <w:p w14:paraId="7D84B1F6" w14:textId="7D5C51BC" w:rsidR="0060543D" w:rsidRDefault="00400FE5" w:rsidP="00400FE5">
      <w:pPr>
        <w:pStyle w:val="RAN4H2"/>
      </w:pPr>
      <w:r>
        <w:t>GNSS</w:t>
      </w:r>
      <w:r w:rsidR="00A06BC3">
        <w:t>-</w:t>
      </w:r>
      <w:r w:rsidR="00056B17">
        <w:t xml:space="preserve">MG </w:t>
      </w:r>
      <w:r w:rsidR="00270FB7">
        <w:t>i</w:t>
      </w:r>
      <w:r>
        <w:t xml:space="preserve">mpact on </w:t>
      </w:r>
      <w:r w:rsidR="00312E3E">
        <w:t>mobility measurements</w:t>
      </w:r>
    </w:p>
    <w:p w14:paraId="79C519EB" w14:textId="5D9AFA86" w:rsidR="008808F9" w:rsidRDefault="008808F9" w:rsidP="00787B98">
      <w:r>
        <w:t>In the previous meeting, RAN4 has discussed the impact of the GNSS</w:t>
      </w:r>
      <w:r w:rsidR="00A06BC3">
        <w:t>-</w:t>
      </w:r>
      <w:r>
        <w:t>MG on the radio link monitoring and in RR</w:t>
      </w:r>
      <w:r w:rsidR="00B93866">
        <w:t xml:space="preserve">M </w:t>
      </w:r>
      <w:r>
        <w:t xml:space="preserve">measurements reported by both eMTC and NB-IoT UEs. The impact was caused because RAN2 has previously agreed that RLM activities are suspended for the duration of the GNSS-MG, and RAN1 has </w:t>
      </w:r>
      <w:r w:rsidR="00151F00">
        <w:t>agreed</w:t>
      </w:r>
      <w:r>
        <w:t xml:space="preserve"> that the duration of </w:t>
      </w:r>
      <w:r w:rsidR="00F737F6">
        <w:t xml:space="preserve">the </w:t>
      </w:r>
      <w:r w:rsidR="00323385">
        <w:t xml:space="preserve">network-configured </w:t>
      </w:r>
      <w:r>
        <w:t xml:space="preserve">GNSS-MG has a significantly wild range going from 1 </w:t>
      </w:r>
      <w:r w:rsidR="00323385">
        <w:t xml:space="preserve">second </w:t>
      </w:r>
      <w:r>
        <w:t>to 31 seconds.</w:t>
      </w:r>
    </w:p>
    <w:tbl>
      <w:tblPr>
        <w:tblStyle w:val="TableGrid"/>
        <w:tblW w:w="0" w:type="auto"/>
        <w:tblLook w:val="04A0" w:firstRow="1" w:lastRow="0" w:firstColumn="1" w:lastColumn="0" w:noHBand="0" w:noVBand="1"/>
      </w:tblPr>
      <w:tblGrid>
        <w:gridCol w:w="9617"/>
      </w:tblGrid>
      <w:tr w:rsidR="008808F9" w14:paraId="506831C0" w14:textId="77777777" w:rsidTr="008808F9">
        <w:tc>
          <w:tcPr>
            <w:tcW w:w="9617" w:type="dxa"/>
          </w:tcPr>
          <w:p w14:paraId="489DBBE0" w14:textId="77777777" w:rsidR="008808F9" w:rsidRPr="00AE2A99" w:rsidRDefault="008808F9" w:rsidP="008808F9">
            <w:pPr>
              <w:rPr>
                <w:iCs/>
                <w:u w:val="single"/>
              </w:rPr>
            </w:pPr>
            <w:r w:rsidRPr="00AE2A99">
              <w:rPr>
                <w:u w:val="single"/>
              </w:rPr>
              <w:t>RAN1#113</w:t>
            </w:r>
            <w:r w:rsidRPr="008808F9">
              <w:rPr>
                <w:iCs/>
                <w:u w:val="single"/>
              </w:rPr>
              <w:t>Agreement</w:t>
            </w:r>
          </w:p>
          <w:p w14:paraId="663D69F2" w14:textId="77777777" w:rsidR="008808F9" w:rsidRPr="00EE40C8" w:rsidRDefault="008808F9" w:rsidP="008808F9">
            <w:pPr>
              <w:rPr>
                <w:iCs/>
                <w:highlight w:val="green"/>
              </w:rPr>
            </w:pPr>
            <w:r w:rsidRPr="004C571E">
              <w:rPr>
                <w:lang w:val="en-GB"/>
              </w:rPr>
              <w:t xml:space="preserve">UE reports one GNSS position fix time duration for GNSS measurement via a 4-bit field with component values </w:t>
            </w:r>
            <w:r w:rsidRPr="008808F9">
              <w:rPr>
                <w:highlight w:val="green"/>
                <w:lang w:val="en-GB"/>
              </w:rPr>
              <w:t>[1,2,3,4,5,6,7,13,19,25,31]</w:t>
            </w:r>
            <w:r w:rsidRPr="004C571E">
              <w:rPr>
                <w:lang w:val="en-GB"/>
              </w:rPr>
              <w:t xml:space="preserve"> </w:t>
            </w:r>
          </w:p>
          <w:p w14:paraId="6F9FD55D" w14:textId="77777777" w:rsidR="008808F9" w:rsidRDefault="008808F9" w:rsidP="008808F9">
            <w:pPr>
              <w:rPr>
                <w:lang w:val="en-GB"/>
              </w:rPr>
            </w:pPr>
            <w:r w:rsidRPr="004C571E">
              <w:rPr>
                <w:lang w:val="en-GB"/>
              </w:rPr>
              <w:t>FFS: other component values</w:t>
            </w:r>
          </w:p>
          <w:p w14:paraId="7ED69E09" w14:textId="77777777" w:rsidR="008808F9" w:rsidRDefault="008808F9" w:rsidP="008808F9">
            <w:pPr>
              <w:rPr>
                <w:lang w:val="en-GB"/>
              </w:rPr>
            </w:pPr>
          </w:p>
          <w:p w14:paraId="37D071F6" w14:textId="77777777" w:rsidR="008808F9" w:rsidRPr="00AE2A99" w:rsidRDefault="008808F9" w:rsidP="008808F9">
            <w:pPr>
              <w:rPr>
                <w:u w:val="single"/>
              </w:rPr>
            </w:pPr>
            <w:r w:rsidRPr="00AE2A99">
              <w:rPr>
                <w:u w:val="single"/>
              </w:rPr>
              <w:t>RAN2 #122 Agreement</w:t>
            </w:r>
          </w:p>
          <w:p w14:paraId="52B0AB55" w14:textId="77777777" w:rsidR="008808F9" w:rsidRDefault="008808F9" w:rsidP="008808F9">
            <w:pPr>
              <w:pStyle w:val="ListParagraph"/>
              <w:numPr>
                <w:ilvl w:val="0"/>
                <w:numId w:val="43"/>
              </w:numPr>
              <w:spacing w:after="160" w:line="259" w:lineRule="auto"/>
            </w:pPr>
            <w:r>
              <w:t>If the serving cell t-service expires, stop T310 (if running) and start T311 (</w:t>
            </w:r>
            <w:proofErr w:type="gramStart"/>
            <w:r>
              <w:t>i.e.</w:t>
            </w:r>
            <w:proofErr w:type="gramEnd"/>
            <w:r>
              <w:t xml:space="preserve"> perform cell search and re-establishment without attempting to recover on the current cell for the duration of T310). FFS on discontinuous </w:t>
            </w:r>
            <w:proofErr w:type="gramStart"/>
            <w:r>
              <w:t>coverage</w:t>
            </w:r>
            <w:proofErr w:type="gramEnd"/>
          </w:p>
          <w:p w14:paraId="5EA9B03F" w14:textId="77777777" w:rsidR="008808F9" w:rsidRPr="00253771" w:rsidRDefault="008808F9" w:rsidP="008808F9">
            <w:pPr>
              <w:spacing w:after="120" w:line="252" w:lineRule="auto"/>
              <w:rPr>
                <w:szCs w:val="24"/>
                <w:lang w:eastAsia="ja-JP"/>
              </w:rPr>
            </w:pPr>
          </w:p>
          <w:p w14:paraId="2EDB4EF5" w14:textId="77777777" w:rsidR="008808F9" w:rsidRPr="008808F9" w:rsidRDefault="008808F9" w:rsidP="008808F9">
            <w:pPr>
              <w:pStyle w:val="ListParagraph"/>
              <w:numPr>
                <w:ilvl w:val="0"/>
                <w:numId w:val="43"/>
              </w:numPr>
              <w:spacing w:after="160" w:line="259" w:lineRule="auto"/>
              <w:rPr>
                <w:highlight w:val="green"/>
              </w:rPr>
            </w:pPr>
            <w:r w:rsidRPr="008808F9">
              <w:rPr>
                <w:highlight w:val="green"/>
              </w:rPr>
              <w:t xml:space="preserve">RLM is suspended during the GNSS measurement gap while the UE is measuring </w:t>
            </w:r>
            <w:proofErr w:type="gramStart"/>
            <w:r w:rsidRPr="008808F9">
              <w:rPr>
                <w:highlight w:val="green"/>
              </w:rPr>
              <w:t>GNSS</w:t>
            </w:r>
            <w:proofErr w:type="gramEnd"/>
          </w:p>
          <w:p w14:paraId="2E70E053" w14:textId="77777777" w:rsidR="008808F9" w:rsidRDefault="008808F9" w:rsidP="008808F9"/>
          <w:p w14:paraId="3B5AA964" w14:textId="77777777" w:rsidR="008808F9" w:rsidRPr="001E67CB" w:rsidRDefault="008808F9" w:rsidP="008808F9">
            <w:pPr>
              <w:rPr>
                <w:rFonts w:eastAsia="PMingLiU"/>
                <w:iCs/>
                <w:u w:val="single"/>
                <w:lang w:eastAsia="zh-TW"/>
              </w:rPr>
            </w:pPr>
            <w:r w:rsidRPr="001E67CB">
              <w:rPr>
                <w:rFonts w:eastAsia="PMingLiU"/>
                <w:iCs/>
                <w:u w:val="single"/>
                <w:lang w:eastAsia="zh-TW"/>
              </w:rPr>
              <w:t>RAN2#123</w:t>
            </w:r>
          </w:p>
          <w:p w14:paraId="202147FB" w14:textId="77777777" w:rsidR="008808F9" w:rsidRDefault="008808F9" w:rsidP="008808F9">
            <w:r>
              <w:t>4. Capture the following NOTE in Stage 2 (can further fix the wording):</w:t>
            </w:r>
          </w:p>
          <w:p w14:paraId="37D33C2E" w14:textId="77777777" w:rsidR="008808F9" w:rsidRDefault="008808F9" w:rsidP="008808F9">
            <w:r>
              <w:t xml:space="preserve">      NOTE: The AS operations (</w:t>
            </w:r>
            <w:proofErr w:type="gramStart"/>
            <w:r>
              <w:t>e.g.</w:t>
            </w:r>
            <w:proofErr w:type="gramEnd"/>
            <w:r>
              <w:t xml:space="preserve"> RLM related timers, </w:t>
            </w:r>
            <w:proofErr w:type="spellStart"/>
            <w:r>
              <w:t>dataInactivityTimer</w:t>
            </w:r>
            <w:proofErr w:type="spellEnd"/>
            <w:r>
              <w:t xml:space="preserve">, CHO execution, </w:t>
            </w:r>
            <w:proofErr w:type="spellStart"/>
            <w:r w:rsidRPr="000C4FAC">
              <w:rPr>
                <w:highlight w:val="green"/>
              </w:rPr>
              <w:t>neighbour</w:t>
            </w:r>
            <w:proofErr w:type="spellEnd"/>
            <w:r w:rsidRPr="000C4FAC">
              <w:rPr>
                <w:highlight w:val="green"/>
              </w:rPr>
              <w:t xml:space="preserve"> cell measurement</w:t>
            </w:r>
            <w:r>
              <w:t>, RACH, SR, and BSR) are suspended when UE is performing GNSS measurement during GNSS measurement gap.</w:t>
            </w:r>
          </w:p>
          <w:p w14:paraId="3DB87BF0" w14:textId="77777777" w:rsidR="008808F9" w:rsidRDefault="008808F9" w:rsidP="008808F9">
            <w:r>
              <w:t xml:space="preserve">      FFS whether we need to state something about AS </w:t>
            </w:r>
            <w:proofErr w:type="gramStart"/>
            <w:r>
              <w:t>resumption</w:t>
            </w:r>
            <w:proofErr w:type="gramEnd"/>
          </w:p>
          <w:p w14:paraId="047D27B0" w14:textId="5D16667E" w:rsidR="008808F9" w:rsidRDefault="008808F9" w:rsidP="008808F9"/>
        </w:tc>
      </w:tr>
    </w:tbl>
    <w:p w14:paraId="1B568C9F" w14:textId="77777777" w:rsidR="008808F9" w:rsidRDefault="008808F9" w:rsidP="00787B98"/>
    <w:p w14:paraId="4C9F23C2" w14:textId="7C01C51A" w:rsidR="008808F9" w:rsidRDefault="008808F9" w:rsidP="00787B98">
      <w:r>
        <w:t>The</w:t>
      </w:r>
      <w:r w:rsidR="0097559C">
        <w:t xml:space="preserve"> RAN4</w:t>
      </w:r>
      <w:r>
        <w:t xml:space="preserve"> discussion was left for further investigation as different options were considered:</w:t>
      </w:r>
    </w:p>
    <w:tbl>
      <w:tblPr>
        <w:tblStyle w:val="TableGrid"/>
        <w:tblW w:w="0" w:type="auto"/>
        <w:tblLook w:val="04A0" w:firstRow="1" w:lastRow="0" w:firstColumn="1" w:lastColumn="0" w:noHBand="0" w:noVBand="1"/>
      </w:tblPr>
      <w:tblGrid>
        <w:gridCol w:w="9617"/>
      </w:tblGrid>
      <w:tr w:rsidR="008808F9" w14:paraId="32EC1045" w14:textId="77777777" w:rsidTr="008808F9">
        <w:tc>
          <w:tcPr>
            <w:tcW w:w="9617" w:type="dxa"/>
          </w:tcPr>
          <w:p w14:paraId="2538E3C3" w14:textId="77777777" w:rsidR="008808F9" w:rsidRPr="00CB67E5" w:rsidRDefault="008808F9" w:rsidP="008808F9">
            <w:pPr>
              <w:pStyle w:val="Heading4"/>
            </w:pPr>
            <w:r w:rsidRPr="00CB67E5">
              <w:t>Issue 5-1&amp;5-2: GNSS gap, spec impact</w:t>
            </w:r>
          </w:p>
          <w:p w14:paraId="12866844" w14:textId="77777777" w:rsidR="008808F9" w:rsidRPr="00CB67E5" w:rsidRDefault="008808F9" w:rsidP="008808F9">
            <w:pPr>
              <w:spacing w:after="120"/>
              <w:rPr>
                <w:rFonts w:eastAsia="MS Mincho"/>
              </w:rPr>
            </w:pPr>
            <w:r w:rsidRPr="00CB67E5">
              <w:rPr>
                <w:rFonts w:eastAsia="MS Mincho"/>
              </w:rPr>
              <w:t>Discuss the following options until next meeting.</w:t>
            </w:r>
          </w:p>
          <w:p w14:paraId="495AA390" w14:textId="77777777" w:rsidR="008808F9" w:rsidRPr="00CB67E5" w:rsidRDefault="008808F9" w:rsidP="008808F9">
            <w:pPr>
              <w:pStyle w:val="ListParagraph"/>
              <w:numPr>
                <w:ilvl w:val="0"/>
                <w:numId w:val="44"/>
              </w:numPr>
              <w:overflowPunct w:val="0"/>
              <w:autoSpaceDE w:val="0"/>
              <w:autoSpaceDN w:val="0"/>
              <w:adjustRightInd w:val="0"/>
              <w:spacing w:after="120"/>
              <w:contextualSpacing w:val="0"/>
              <w:textAlignment w:val="baseline"/>
              <w:rPr>
                <w:rFonts w:eastAsia="PMingLiU"/>
                <w:lang w:eastAsia="zh-TW"/>
              </w:rPr>
            </w:pPr>
            <w:r w:rsidRPr="00CB67E5">
              <w:rPr>
                <w:rFonts w:eastAsia="PMingLiU"/>
                <w:lang w:eastAsia="zh-TW"/>
              </w:rPr>
              <w:t>Option 1:</w:t>
            </w:r>
            <w:r w:rsidRPr="00CB67E5">
              <w:t xml:space="preserve"> add generic description that the measurement delay could be longer if GNSS fix happens during measurement period.</w:t>
            </w:r>
          </w:p>
          <w:p w14:paraId="3541A142" w14:textId="77777777" w:rsidR="008808F9" w:rsidRPr="008808F9" w:rsidRDefault="008808F9" w:rsidP="008808F9">
            <w:pPr>
              <w:pStyle w:val="ListParagraph"/>
              <w:numPr>
                <w:ilvl w:val="0"/>
                <w:numId w:val="44"/>
              </w:numPr>
              <w:overflowPunct w:val="0"/>
              <w:autoSpaceDE w:val="0"/>
              <w:autoSpaceDN w:val="0"/>
              <w:adjustRightInd w:val="0"/>
              <w:spacing w:after="120"/>
              <w:contextualSpacing w:val="0"/>
              <w:textAlignment w:val="baseline"/>
              <w:rPr>
                <w:rFonts w:eastAsia="PMingLiU"/>
                <w:lang w:eastAsia="zh-TW"/>
              </w:rPr>
            </w:pPr>
            <w:r w:rsidRPr="008808F9">
              <w:rPr>
                <w:rFonts w:eastAsia="PMingLiU"/>
                <w:lang w:eastAsia="zh-TW"/>
              </w:rPr>
              <w:t xml:space="preserve">Option 2: </w:t>
            </w:r>
            <w:r w:rsidRPr="008808F9">
              <w:rPr>
                <w:rFonts w:eastAsia="PMingLiU"/>
                <w:iCs/>
                <w:lang w:eastAsia="zh-TW"/>
              </w:rPr>
              <w:t xml:space="preserve">The measurement delay requirements are extended by the duration of the GNSS-MG. </w:t>
            </w:r>
          </w:p>
          <w:p w14:paraId="31D42191" w14:textId="77777777" w:rsidR="008808F9" w:rsidRPr="008808F9" w:rsidRDefault="008808F9" w:rsidP="008808F9">
            <w:pPr>
              <w:pStyle w:val="ListParagraph"/>
              <w:numPr>
                <w:ilvl w:val="1"/>
                <w:numId w:val="44"/>
              </w:numPr>
              <w:overflowPunct w:val="0"/>
              <w:autoSpaceDE w:val="0"/>
              <w:autoSpaceDN w:val="0"/>
              <w:adjustRightInd w:val="0"/>
              <w:spacing w:after="120"/>
              <w:contextualSpacing w:val="0"/>
              <w:textAlignment w:val="baseline"/>
              <w:rPr>
                <w:rFonts w:eastAsia="PMingLiU"/>
                <w:lang w:eastAsia="zh-TW"/>
              </w:rPr>
            </w:pPr>
            <w:r w:rsidRPr="008808F9">
              <w:rPr>
                <w:rFonts w:eastAsia="PMingLiU"/>
                <w:iCs/>
                <w:lang w:eastAsia="zh-TW"/>
              </w:rPr>
              <w:t>When the UE triggers an early termination of the GNSS-MG, the measurement delay requirements are extended by the duration of the early-terminated GNSS-MG.</w:t>
            </w:r>
          </w:p>
          <w:p w14:paraId="3218812E" w14:textId="77777777" w:rsidR="008808F9" w:rsidRPr="0014534A" w:rsidRDefault="008808F9" w:rsidP="008808F9">
            <w:pPr>
              <w:pStyle w:val="ListParagraph"/>
              <w:numPr>
                <w:ilvl w:val="0"/>
                <w:numId w:val="44"/>
              </w:numPr>
              <w:overflowPunct w:val="0"/>
              <w:autoSpaceDE w:val="0"/>
              <w:autoSpaceDN w:val="0"/>
              <w:adjustRightInd w:val="0"/>
              <w:spacing w:after="120"/>
              <w:contextualSpacing w:val="0"/>
              <w:textAlignment w:val="baseline"/>
              <w:rPr>
                <w:rFonts w:eastAsia="PMingLiU"/>
                <w:lang w:eastAsia="zh-TW"/>
              </w:rPr>
            </w:pPr>
            <w:r w:rsidRPr="00CB67E5">
              <w:rPr>
                <w:rFonts w:eastAsia="PMingLiU"/>
                <w:lang w:eastAsia="zh-TW"/>
              </w:rPr>
              <w:t>O</w:t>
            </w:r>
            <w:r w:rsidRPr="00CB67E5">
              <w:rPr>
                <w:rFonts w:eastAsia="PMingLiU" w:hint="eastAsia"/>
                <w:lang w:eastAsia="zh-TW"/>
              </w:rPr>
              <w:t>p</w:t>
            </w:r>
            <w:r w:rsidRPr="00CB67E5">
              <w:rPr>
                <w:rFonts w:eastAsia="PMingLiU"/>
                <w:lang w:eastAsia="zh-TW"/>
              </w:rPr>
              <w:t>tion 3</w:t>
            </w:r>
            <w:r w:rsidRPr="00CB67E5">
              <w:rPr>
                <w:rFonts w:eastAsia="PMingLiU" w:hint="eastAsia"/>
                <w:lang w:eastAsia="zh-TW"/>
              </w:rPr>
              <w:t xml:space="preserve">: </w:t>
            </w:r>
            <w:r w:rsidRPr="00CB67E5">
              <w:rPr>
                <w:rFonts w:eastAsia="PMingLiU"/>
                <w:iCs/>
                <w:lang w:eastAsia="zh-TW"/>
              </w:rPr>
              <w:t xml:space="preserve">The measurement delay requirements are </w:t>
            </w:r>
            <w:r w:rsidRPr="00CB67E5">
              <w:rPr>
                <w:rFonts w:eastAsia="PMingLiU" w:hint="eastAsia"/>
                <w:iCs/>
                <w:lang w:eastAsia="zh-TW"/>
              </w:rPr>
              <w:t>s</w:t>
            </w:r>
            <w:r w:rsidRPr="00CB67E5">
              <w:rPr>
                <w:rFonts w:eastAsia="PMingLiU"/>
                <w:iCs/>
                <w:lang w:eastAsia="zh-TW"/>
              </w:rPr>
              <w:t>uspended until the termination of the GNSS-MG.</w:t>
            </w:r>
          </w:p>
          <w:p w14:paraId="156A87E5" w14:textId="77777777" w:rsidR="008808F9" w:rsidRDefault="008808F9" w:rsidP="00787B98"/>
        </w:tc>
      </w:tr>
    </w:tbl>
    <w:p w14:paraId="5C441F73" w14:textId="77777777" w:rsidR="008808F9" w:rsidRDefault="008808F9" w:rsidP="00787B98"/>
    <w:p w14:paraId="25A31AF1" w14:textId="37B0E220" w:rsidR="008808F9" w:rsidRDefault="008808F9" w:rsidP="00787B98">
      <w:r>
        <w:t>The problem with option 1 is that it does not characterize how long the requirements will be when a GNSS-MG is configured. This wouldn’t be a problem if the configuration</w:t>
      </w:r>
      <w:r w:rsidR="0021358A">
        <w:t xml:space="preserve"> &amp; triggering</w:t>
      </w:r>
      <w:r>
        <w:t xml:space="preserve"> of GNSS-MG were expected to be rare or infrequent. However, as GNSS-MG might be frequently configured</w:t>
      </w:r>
      <w:r w:rsidR="0068629C">
        <w:t xml:space="preserve"> &amp; triggered</w:t>
      </w:r>
      <w:r>
        <w:t xml:space="preserve">, option 1 would </w:t>
      </w:r>
      <w:r w:rsidR="007808AB">
        <w:t>result</w:t>
      </w:r>
      <w:r>
        <w:t xml:space="preserve"> in a scenario where frequently, there are no requirements applicable for the RLM. </w:t>
      </w:r>
    </w:p>
    <w:p w14:paraId="0D6DA9AA" w14:textId="6CF7275B" w:rsidR="008808F9" w:rsidRDefault="008808F9" w:rsidP="008808F9">
      <w:pPr>
        <w:pStyle w:val="RAN4observation0"/>
      </w:pPr>
      <w:bookmarkStart w:id="23" w:name="_Toc149938159"/>
      <w:r>
        <w:t>As GNSS-MG are expected to be frequently configured</w:t>
      </w:r>
      <w:r w:rsidR="007808AB">
        <w:t xml:space="preserve"> &amp; triggered</w:t>
      </w:r>
      <w:r>
        <w:t>, option 1 would ensue in frequently having non-applicable requirements for RLM.</w:t>
      </w:r>
      <w:bookmarkEnd w:id="23"/>
      <w:r>
        <w:t xml:space="preserve"> </w:t>
      </w:r>
    </w:p>
    <w:p w14:paraId="21C6A182" w14:textId="029F9811" w:rsidR="008808F9" w:rsidRDefault="008808F9" w:rsidP="008808F9">
      <w:r>
        <w:t xml:space="preserve">Besides, in some situations, there is no need to have additional time for the UE to enlarge the RLM measurement delay. </w:t>
      </w:r>
    </w:p>
    <w:p w14:paraId="063301EB" w14:textId="44E2A000" w:rsidR="008808F9" w:rsidRDefault="008808F9" w:rsidP="008808F9">
      <w:r>
        <w:t xml:space="preserve">Consider the case where UE is configured with an </w:t>
      </w:r>
      <w:proofErr w:type="spellStart"/>
      <w:r w:rsidR="00AC0CE7">
        <w:t>eDRX_Conn</w:t>
      </w:r>
      <w:proofErr w:type="spellEnd"/>
      <w:r>
        <w:t xml:space="preserve"> cycle of </w:t>
      </w:r>
      <w:r w:rsidRPr="00AC0CE7">
        <w:rPr>
          <w:b/>
          <w:bCs/>
        </w:rPr>
        <w:t>5.12</w:t>
      </w:r>
      <w:r>
        <w:t xml:space="preserve"> seconds. By the requirements presented in clause 7.19.2.2</w:t>
      </w:r>
      <w:r w:rsidR="00B649BF">
        <w:t xml:space="preserve"> in TS 36.133</w:t>
      </w:r>
      <w:r>
        <w:t xml:space="preserve">, the time for the UE </w:t>
      </w:r>
      <w:r w:rsidR="00533F6D">
        <w:t xml:space="preserve">to </w:t>
      </w:r>
      <w:r>
        <w:t xml:space="preserve">evaluate this cell is relative to a given number of </w:t>
      </w:r>
      <w:proofErr w:type="spellStart"/>
      <w:r>
        <w:t>eDRX</w:t>
      </w:r>
      <w:proofErr w:type="spellEnd"/>
      <w:r>
        <w:t xml:space="preserve"> cycles. </w:t>
      </w:r>
      <w:r w:rsidR="00AC0CE7">
        <w:t>If this UE is configured with a GNSS-MG of 4 seconds, it might be the case that most of the GNSS-MG wi</w:t>
      </w:r>
      <w:r w:rsidR="008C7672">
        <w:t>ll</w:t>
      </w:r>
      <w:r w:rsidR="00AC0CE7">
        <w:t xml:space="preserve"> fall within the sleeping</w:t>
      </w:r>
      <w:r w:rsidR="008C7672">
        <w:t>/inactive</w:t>
      </w:r>
      <w:r w:rsidR="00AC0CE7">
        <w:t xml:space="preserve"> period of </w:t>
      </w:r>
      <w:proofErr w:type="gramStart"/>
      <w:r w:rsidR="00AC0CE7">
        <w:t>a</w:t>
      </w:r>
      <w:proofErr w:type="gramEnd"/>
      <w:r w:rsidR="00AC0CE7">
        <w:t xml:space="preserve"> </w:t>
      </w:r>
      <w:proofErr w:type="spellStart"/>
      <w:r w:rsidR="00AC0CE7">
        <w:t>eDRX_Conn</w:t>
      </w:r>
      <w:proofErr w:type="spellEnd"/>
      <w:r w:rsidR="00AC0CE7">
        <w:t xml:space="preserve"> cycle. This scenario is represented in </w:t>
      </w:r>
      <w:r w:rsidR="00AC0CE7">
        <w:fldChar w:fldCharType="begin"/>
      </w:r>
      <w:r w:rsidR="00AC0CE7">
        <w:instrText xml:space="preserve"> REF _Ref149643279 \h </w:instrText>
      </w:r>
      <w:r w:rsidR="00AC0CE7">
        <w:fldChar w:fldCharType="separate"/>
      </w:r>
      <w:r w:rsidR="00AC0CE7">
        <w:t xml:space="preserve">Figure </w:t>
      </w:r>
      <w:r w:rsidR="00AC0CE7">
        <w:rPr>
          <w:noProof/>
        </w:rPr>
        <w:t>2</w:t>
      </w:r>
      <w:r w:rsidR="00AC0CE7">
        <w:fldChar w:fldCharType="end"/>
      </w:r>
      <w:r w:rsidR="00AC0CE7">
        <w:t xml:space="preserve">, observe that it is unlikely </w:t>
      </w:r>
      <w:r w:rsidR="00AC0CE7">
        <w:lastRenderedPageBreak/>
        <w:t xml:space="preserve">that the presence of GNSS-MG will disturb the UE capacity to perform RLM measurements within the </w:t>
      </w:r>
      <w:proofErr w:type="spellStart"/>
      <w:r w:rsidR="00AC0CE7">
        <w:t>Tevaluate</w:t>
      </w:r>
      <w:proofErr w:type="spellEnd"/>
      <w:r w:rsidR="00AC0CE7">
        <w:t xml:space="preserve"> period. </w:t>
      </w:r>
    </w:p>
    <w:p w14:paraId="3A6AF4F4" w14:textId="46A0F347" w:rsidR="00AC0CE7" w:rsidRDefault="00AC0CE7" w:rsidP="00AC0CE7">
      <w:pPr>
        <w:pStyle w:val="RAN4observation0"/>
      </w:pPr>
      <w:bookmarkStart w:id="24" w:name="_Toc149938160"/>
      <w:r>
        <w:t xml:space="preserve">In some scenarios, the full duration of a GNSS-MG is confined withing one </w:t>
      </w:r>
      <w:proofErr w:type="spellStart"/>
      <w:r>
        <w:t>eDRX_Conn_cyle</w:t>
      </w:r>
      <w:proofErr w:type="spellEnd"/>
      <w:r>
        <w:t>.</w:t>
      </w:r>
      <w:bookmarkEnd w:id="24"/>
      <w:r>
        <w:t xml:space="preserve"> </w:t>
      </w:r>
    </w:p>
    <w:p w14:paraId="01AE474C" w14:textId="15F2901B" w:rsidR="00AC0CE7" w:rsidRPr="00AC0CE7" w:rsidRDefault="00AC0CE7" w:rsidP="00AC0CE7"/>
    <w:p w14:paraId="2CAF2ED1" w14:textId="77777777" w:rsidR="00AC0CE7" w:rsidRDefault="00AC0CE7" w:rsidP="00AC0CE7">
      <w:pPr>
        <w:keepNext/>
      </w:pPr>
      <w:r>
        <w:rPr>
          <w:noProof/>
        </w:rPr>
        <w:drawing>
          <wp:inline distT="0" distB="0" distL="0" distR="0" wp14:anchorId="7A0111C0" wp14:editId="3FCD50B7">
            <wp:extent cx="6644640" cy="1355150"/>
            <wp:effectExtent l="0" t="0" r="0" b="0"/>
            <wp:docPr id="915564626" name="Picture 915564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93003" cy="1365013"/>
                    </a:xfrm>
                    <a:prstGeom prst="rect">
                      <a:avLst/>
                    </a:prstGeom>
                    <a:noFill/>
                  </pic:spPr>
                </pic:pic>
              </a:graphicData>
            </a:graphic>
          </wp:inline>
        </w:drawing>
      </w:r>
    </w:p>
    <w:p w14:paraId="7AB39555" w14:textId="5D2EF787" w:rsidR="00AC0CE7" w:rsidRDefault="00AC0CE7" w:rsidP="00AC0CE7">
      <w:pPr>
        <w:pStyle w:val="Caption"/>
        <w:jc w:val="left"/>
      </w:pPr>
      <w:bookmarkStart w:id="25" w:name="_Ref149643279"/>
      <w:r>
        <w:t xml:space="preserve">Figure </w:t>
      </w:r>
      <w:r w:rsidR="003B0B51">
        <w:fldChar w:fldCharType="begin"/>
      </w:r>
      <w:r w:rsidR="003B0B51">
        <w:instrText xml:space="preserve"> SEQ Figure \* ARABIC </w:instrText>
      </w:r>
      <w:r w:rsidR="003B0B51">
        <w:fldChar w:fldCharType="separate"/>
      </w:r>
      <w:r>
        <w:rPr>
          <w:noProof/>
        </w:rPr>
        <w:t>2</w:t>
      </w:r>
      <w:r w:rsidR="003B0B51">
        <w:rPr>
          <w:noProof/>
        </w:rPr>
        <w:fldChar w:fldCharType="end"/>
      </w:r>
      <w:bookmarkEnd w:id="25"/>
      <w:r>
        <w:t xml:space="preserve">. Example of the case where the GNSS-MG is smaller than the </w:t>
      </w:r>
      <w:proofErr w:type="spellStart"/>
      <w:r>
        <w:t>eDRX</w:t>
      </w:r>
      <w:proofErr w:type="spellEnd"/>
      <w:r>
        <w:t xml:space="preserve"> Conn Cycle</w:t>
      </w:r>
    </w:p>
    <w:p w14:paraId="7345D298" w14:textId="06F28BA3" w:rsidR="008808F9" w:rsidRDefault="00AC0CE7" w:rsidP="00AC0CE7">
      <w:pPr>
        <w:pStyle w:val="RAN4proposal"/>
      </w:pPr>
      <w:bookmarkStart w:id="26" w:name="_Ref149858660"/>
      <w:bookmarkStart w:id="27" w:name="_Toc149938161"/>
      <w:r>
        <w:t xml:space="preserve">For the cases where the GNSS-MG is smaller than the </w:t>
      </w:r>
      <w:proofErr w:type="spellStart"/>
      <w:r>
        <w:t>eDRX</w:t>
      </w:r>
      <w:proofErr w:type="spellEnd"/>
      <w:r>
        <w:t xml:space="preserve"> cycle, the RLM requirements are still applicable.</w:t>
      </w:r>
      <w:bookmarkEnd w:id="26"/>
      <w:bookmarkEnd w:id="27"/>
      <w:r>
        <w:t xml:space="preserve"> </w:t>
      </w:r>
    </w:p>
    <w:p w14:paraId="3612E839" w14:textId="27555D36" w:rsidR="00AC0CE7" w:rsidRDefault="00AC0CE7" w:rsidP="00AC0CE7">
      <w:r>
        <w:t xml:space="preserve">It might be that in certain cases the GNSS MG might collide with the “on duration” part of the DRX Cycle, as depicted in </w:t>
      </w:r>
      <w:r>
        <w:fldChar w:fldCharType="begin"/>
      </w:r>
      <w:r>
        <w:instrText xml:space="preserve"> REF _Ref149643583 \h </w:instrText>
      </w:r>
      <w:r>
        <w:fldChar w:fldCharType="separate"/>
      </w:r>
      <w:r>
        <w:t xml:space="preserve">Figure </w:t>
      </w:r>
      <w:r>
        <w:rPr>
          <w:noProof/>
        </w:rPr>
        <w:t>3</w:t>
      </w:r>
      <w:r>
        <w:fldChar w:fldCharType="end"/>
      </w:r>
      <w:r>
        <w:t>. For such cases</w:t>
      </w:r>
      <w:r w:rsidR="0063603E">
        <w:t xml:space="preserve">, the UE might not be able to collect measurements in the colliding DRX Cycle, and a new cycle might be needed to collect the same </w:t>
      </w:r>
      <w:proofErr w:type="gramStart"/>
      <w:r w:rsidR="0063603E">
        <w:t>amount</w:t>
      </w:r>
      <w:proofErr w:type="gramEnd"/>
      <w:r w:rsidR="0063603E">
        <w:t xml:space="preserve"> of measurements related to the earlier requirements. Because of that, </w:t>
      </w:r>
      <w:r>
        <w:t xml:space="preserve"> it might be reasonable to extend the duration of the </w:t>
      </w:r>
      <w:r w:rsidR="004A1863">
        <w:t>evaluation time</w:t>
      </w:r>
      <w:r>
        <w:t xml:space="preserve"> by one DRX cycle:</w:t>
      </w:r>
    </w:p>
    <w:p w14:paraId="6CCAC26F" w14:textId="51B0C282" w:rsidR="00AC0CE7" w:rsidRDefault="00AC0CE7" w:rsidP="00AC0CE7">
      <w:pPr>
        <w:pStyle w:val="RAN4proposal"/>
      </w:pPr>
      <w:bookmarkStart w:id="28" w:name="_Toc149938162"/>
      <w:r>
        <w:t xml:space="preserve">When the GNSS-MG </w:t>
      </w:r>
      <w:r w:rsidR="00C34D95">
        <w:t>is shorter than the (e)DRX cycle and it</w:t>
      </w:r>
      <w:r>
        <w:t xml:space="preserve"> collides with the </w:t>
      </w:r>
      <w:proofErr w:type="gramStart"/>
      <w:r>
        <w:t>on Duration</w:t>
      </w:r>
      <w:proofErr w:type="gramEnd"/>
      <w:r>
        <w:t xml:space="preserve"> part of one (e)DRX cycle, the time to evaluate requirements might be extended by one (e)DRX cycle.</w:t>
      </w:r>
      <w:bookmarkEnd w:id="28"/>
      <w:r>
        <w:t xml:space="preserve"> </w:t>
      </w:r>
    </w:p>
    <w:p w14:paraId="1C6087C8" w14:textId="77777777" w:rsidR="00AC0CE7" w:rsidRPr="00AC0CE7" w:rsidRDefault="00AC0CE7" w:rsidP="00AC0CE7"/>
    <w:p w14:paraId="5DF2300F" w14:textId="77777777" w:rsidR="00AC0CE7" w:rsidRDefault="00AC0CE7" w:rsidP="00AC0CE7">
      <w:pPr>
        <w:keepNext/>
      </w:pPr>
      <w:r>
        <w:rPr>
          <w:noProof/>
        </w:rPr>
        <w:drawing>
          <wp:inline distT="0" distB="0" distL="0" distR="0" wp14:anchorId="15559098" wp14:editId="008E7C6D">
            <wp:extent cx="4123055" cy="3622348"/>
            <wp:effectExtent l="0" t="0" r="0" b="0"/>
            <wp:docPr id="1139309539" name="Picture 1139309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26042" cy="3624972"/>
                    </a:xfrm>
                    <a:prstGeom prst="rect">
                      <a:avLst/>
                    </a:prstGeom>
                    <a:noFill/>
                  </pic:spPr>
                </pic:pic>
              </a:graphicData>
            </a:graphic>
          </wp:inline>
        </w:drawing>
      </w:r>
    </w:p>
    <w:p w14:paraId="5E5EF2E3" w14:textId="177CE90C" w:rsidR="008808F9" w:rsidRDefault="00AC0CE7" w:rsidP="00AC0CE7">
      <w:pPr>
        <w:pStyle w:val="Caption"/>
        <w:jc w:val="left"/>
      </w:pPr>
      <w:bookmarkStart w:id="29" w:name="_Ref149643583"/>
      <w:r>
        <w:t xml:space="preserve">Figure </w:t>
      </w:r>
      <w:r w:rsidR="003B0B51">
        <w:fldChar w:fldCharType="begin"/>
      </w:r>
      <w:r w:rsidR="003B0B51">
        <w:instrText xml:space="preserve"> SEQ Figure \* AR</w:instrText>
      </w:r>
      <w:r w:rsidR="003B0B51">
        <w:instrText xml:space="preserve">ABIC </w:instrText>
      </w:r>
      <w:r w:rsidR="003B0B51">
        <w:fldChar w:fldCharType="separate"/>
      </w:r>
      <w:r>
        <w:rPr>
          <w:noProof/>
        </w:rPr>
        <w:t>3</w:t>
      </w:r>
      <w:r w:rsidR="003B0B51">
        <w:rPr>
          <w:noProof/>
        </w:rPr>
        <w:fldChar w:fldCharType="end"/>
      </w:r>
      <w:bookmarkEnd w:id="29"/>
      <w:r>
        <w:t xml:space="preserve">. In case (a) there is no overlap between the GNSS-MG and the On Duration part of the DRX Cycle, whereas in case (b) the GNSS-MG collides with what would be the </w:t>
      </w:r>
      <w:proofErr w:type="gramStart"/>
      <w:r>
        <w:t>on duration</w:t>
      </w:r>
      <w:proofErr w:type="gramEnd"/>
      <w:r>
        <w:t xml:space="preserve"> part of a DRX Cycle. </w:t>
      </w:r>
    </w:p>
    <w:p w14:paraId="44837F83" w14:textId="281CC23F" w:rsidR="009D4719" w:rsidRPr="00773851" w:rsidRDefault="009D4719" w:rsidP="009D4719">
      <w:proofErr w:type="gramStart"/>
      <w:r w:rsidRPr="00773851">
        <w:t>Regardless</w:t>
      </w:r>
      <w:proofErr w:type="gramEnd"/>
      <w:r w:rsidRPr="00773851">
        <w:t xml:space="preserve"> whether Option 2 or Option 3 </w:t>
      </w:r>
      <w:r w:rsidRPr="00773851">
        <w:rPr>
          <w:bCs/>
        </w:rPr>
        <w:t xml:space="preserve">are selected,  </w:t>
      </w:r>
      <w:r>
        <w:rPr>
          <w:bCs/>
        </w:rPr>
        <w:t xml:space="preserve">a UE configured with </w:t>
      </w:r>
      <w:proofErr w:type="spellStart"/>
      <w:r>
        <w:rPr>
          <w:bCs/>
        </w:rPr>
        <w:t>eDRX_Conn</w:t>
      </w:r>
      <w:proofErr w:type="spellEnd"/>
      <w:r>
        <w:rPr>
          <w:bCs/>
        </w:rPr>
        <w:t xml:space="preserve"> cycle might take a significant amount of time to evaluate the cell on top of a potentially large GNSS MG. Consider for example, a UE </w:t>
      </w:r>
      <w:r>
        <w:rPr>
          <w:bCs/>
        </w:rPr>
        <w:lastRenderedPageBreak/>
        <w:t xml:space="preserve">configured with a </w:t>
      </w:r>
      <w:proofErr w:type="spellStart"/>
      <w:r>
        <w:rPr>
          <w:bCs/>
        </w:rPr>
        <w:t>eDRX</w:t>
      </w:r>
      <w:proofErr w:type="spellEnd"/>
      <w:r>
        <w:rPr>
          <w:bCs/>
        </w:rPr>
        <w:t xml:space="preserve"> Cycle of 5.12 seconds. The total time to evaluate for this UE according to clause 7.19.2.2 is 26 seconds. If the GNSS-MG is 25 seconds, the UE might take up to 51 seconds to evaluate the serving cell in an environment that is changing dynamically. </w:t>
      </w:r>
      <w:r w:rsidR="004A5607" w:rsidRPr="004A5607">
        <w:rPr>
          <w:rStyle w:val="Heading1Char"/>
        </w:rPr>
        <w:t xml:space="preserve"> </w:t>
      </w:r>
      <w:r w:rsidR="004A5607" w:rsidRPr="004A5607">
        <w:rPr>
          <w:rFonts w:cs="Times New Roman"/>
          <w:sz w:val="24"/>
          <w:szCs w:val="24"/>
        </w:rPr>
        <w:t>Such long evaluation time is clearly problematic and therefore the UE shall be configured to perform a faster serving cell evaluation after completing the GNSS-MG. This can be achieved by defining a shorter DRX cycle applies.</w:t>
      </w:r>
      <w:r w:rsidR="00237FD6">
        <w:t xml:space="preserve"> </w:t>
      </w:r>
      <w:r>
        <w:t xml:space="preserve">Therefore, we propose: </w:t>
      </w:r>
    </w:p>
    <w:p w14:paraId="7C502639" w14:textId="425268E8" w:rsidR="009D4719" w:rsidRDefault="009D4719" w:rsidP="009D4719">
      <w:pPr>
        <w:pStyle w:val="RAN4proposal"/>
      </w:pPr>
      <w:bookmarkStart w:id="30" w:name="_Toc149938163"/>
      <w:r>
        <w:t xml:space="preserve">When the UE is configured with </w:t>
      </w:r>
      <w:proofErr w:type="spellStart"/>
      <w:r>
        <w:t>eDRX</w:t>
      </w:r>
      <w:proofErr w:type="spellEnd"/>
      <w:r>
        <w:t xml:space="preserve"> cycle, and the GNSS-MG is larger than the </w:t>
      </w:r>
      <w:proofErr w:type="spellStart"/>
      <w:r>
        <w:t>eDRX</w:t>
      </w:r>
      <w:proofErr w:type="spellEnd"/>
      <w:r>
        <w:t xml:space="preserve"> cycle, the requirements applicable right after the GNSS-MG shall be corresponding to a DRX cycle of [1.28] s.</w:t>
      </w:r>
      <w:bookmarkEnd w:id="30"/>
    </w:p>
    <w:p w14:paraId="57FA0575" w14:textId="3CEEC322" w:rsidR="00773851" w:rsidRDefault="00AC0CE7" w:rsidP="008808F9">
      <w:r>
        <w:t>The proposals above and the scenario depicted, indicate that Option 3 is not a good candidate for handling the RLM situation in the presence of GNSS-MG. Option 3 implies that all measurements shall be discarded when the UE applies a GNSS-MG, and the measurement activity is re-started after the g</w:t>
      </w:r>
      <w:r w:rsidR="00773851">
        <w:t xml:space="preserve">ap. An additional problem with Option 3 is that it might lead to </w:t>
      </w:r>
      <w:r w:rsidR="009D4719">
        <w:t>the larger</w:t>
      </w:r>
      <w:r w:rsidR="00773851">
        <w:t xml:space="preserve"> reporting intervals for the RLM monitoring</w:t>
      </w:r>
      <w:r w:rsidR="009D4719">
        <w:t xml:space="preserve"> among the 3 options</w:t>
      </w:r>
      <w:r w:rsidR="00773851">
        <w:t>. Consider the situation where the quality of the serving cell drops before the start of a GNSS-MG</w:t>
      </w:r>
      <w:r w:rsidR="000C532B">
        <w:t>;</w:t>
      </w:r>
      <w:r w:rsidR="00773851">
        <w:t xml:space="preserve"> if the UE discards the measurements collected before the GNSS-MG and start</w:t>
      </w:r>
      <w:r w:rsidR="00D268AF">
        <w:t>s</w:t>
      </w:r>
      <w:r w:rsidR="00773851">
        <w:t xml:space="preserve"> again</w:t>
      </w:r>
      <w:r w:rsidR="00D268AF">
        <w:t xml:space="preserve"> after the GNSS-MG</w:t>
      </w:r>
      <w:r w:rsidR="00773851">
        <w:t xml:space="preserve">, then the UE will take more time to re-start the evaluation of the cell whose condition was already degraded before the GNSS-MG. The situation is aggravated when </w:t>
      </w:r>
      <w:proofErr w:type="spellStart"/>
      <w:r w:rsidR="00773851">
        <w:t>eDRX_conn</w:t>
      </w:r>
      <w:proofErr w:type="spellEnd"/>
      <w:r w:rsidR="00773851">
        <w:t xml:space="preserve"> cycles are configured at the UE side.</w:t>
      </w:r>
    </w:p>
    <w:p w14:paraId="1CC5982D" w14:textId="77777777" w:rsidR="00B17558" w:rsidRDefault="00B17558" w:rsidP="00787B98"/>
    <w:p w14:paraId="66AC2180" w14:textId="77777777" w:rsidR="0060543D" w:rsidRPr="008C39F7" w:rsidRDefault="0060543D" w:rsidP="0060543D"/>
    <w:p w14:paraId="748E2482" w14:textId="77777777" w:rsidR="00CD7492" w:rsidRPr="008C39F7" w:rsidRDefault="00CD7492" w:rsidP="00A37002">
      <w:pPr>
        <w:pStyle w:val="RAN4H1"/>
      </w:pPr>
      <w:bookmarkStart w:id="31" w:name="_Toc116995848"/>
      <w:r w:rsidRPr="008C39F7">
        <w:t>Conclusion</w:t>
      </w:r>
      <w:bookmarkEnd w:id="31"/>
    </w:p>
    <w:p w14:paraId="149D0BDA" w14:textId="2FB90F4D" w:rsidR="007C5971" w:rsidRPr="008C39F7" w:rsidRDefault="0023526B" w:rsidP="005C23A4">
      <w:r w:rsidRPr="0023526B">
        <w:t>The paper has discussed the work item on enhancements of IoT/eMTC NTN deployments in special in what regards mobility aspects. The following observations and proposals are presented as an outcome of the discussions above:</w:t>
      </w:r>
    </w:p>
    <w:bookmarkStart w:id="32" w:name="_Toc116995849"/>
    <w:p w14:paraId="35D9A21C" w14:textId="77777777" w:rsidR="007913D6" w:rsidRDefault="00545190">
      <w:pPr>
        <w:pStyle w:val="TOC1"/>
        <w:rPr>
          <w:rFonts w:asciiTheme="minorHAnsi" w:eastAsiaTheme="minorEastAsia" w:hAnsiTheme="minorHAnsi"/>
          <w:b w:val="0"/>
          <w:iCs w:val="0"/>
          <w:kern w:val="2"/>
          <w:sz w:val="22"/>
          <w:lang w:val="en-GB" w:eastAsia="en-GB"/>
          <w14:ligatures w14:val="standardContextual"/>
        </w:rPr>
      </w:pPr>
      <w:r>
        <w:fldChar w:fldCharType="begin"/>
      </w:r>
      <w:r>
        <w:instrText xml:space="preserve"> TOC \n \h \z \t "RAN4 proposal;1;RAN4 observation;1" </w:instrText>
      </w:r>
      <w:r>
        <w:fldChar w:fldCharType="separate"/>
      </w:r>
      <w:hyperlink w:anchor="_Toc149938141" w:history="1">
        <w:r w:rsidR="007913D6" w:rsidRPr="003E3083">
          <w:rPr>
            <w:rStyle w:val="Hyperlink"/>
          </w:rPr>
          <w:t>Proposal 1: When more than 2 satellites are available for measurement in a given frequency layer, the requirements apply for the two satellites with highest priority in a given frequency layer, where the priorities might be given by</w:t>
        </w:r>
      </w:hyperlink>
    </w:p>
    <w:p w14:paraId="792CD54C" w14:textId="77777777" w:rsidR="007913D6" w:rsidRDefault="007913D6">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9938142" w:history="1">
        <w:r w:rsidRPr="003E3083">
          <w:rPr>
            <w:rStyle w:val="Hyperlink"/>
          </w:rPr>
          <w:t>a.</w:t>
        </w:r>
        <w:r>
          <w:rPr>
            <w:rFonts w:asciiTheme="minorHAnsi" w:eastAsiaTheme="minorEastAsia" w:hAnsiTheme="minorHAnsi"/>
            <w:b w:val="0"/>
            <w:iCs w:val="0"/>
            <w:kern w:val="2"/>
            <w:sz w:val="22"/>
            <w:lang w:val="en-GB" w:eastAsia="en-GB"/>
            <w14:ligatures w14:val="standardContextual"/>
          </w:rPr>
          <w:tab/>
        </w:r>
        <w:r w:rsidRPr="003E3083">
          <w:rPr>
            <w:rStyle w:val="Hyperlink"/>
          </w:rPr>
          <w:t>Send an LS to RAN2 to provide neighbbor cell priorities when more than 2 cells are configured for measurements; or</w:t>
        </w:r>
      </w:hyperlink>
    </w:p>
    <w:p w14:paraId="47FFCF9A" w14:textId="77777777" w:rsidR="007913D6" w:rsidRDefault="007913D6">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9938143" w:history="1">
        <w:r w:rsidRPr="003E3083">
          <w:rPr>
            <w:rStyle w:val="Hyperlink"/>
          </w:rPr>
          <w:t>b.</w:t>
        </w:r>
        <w:r>
          <w:rPr>
            <w:rFonts w:asciiTheme="minorHAnsi" w:eastAsiaTheme="minorEastAsia" w:hAnsiTheme="minorHAnsi"/>
            <w:b w:val="0"/>
            <w:iCs w:val="0"/>
            <w:kern w:val="2"/>
            <w:sz w:val="22"/>
            <w:lang w:val="en-GB" w:eastAsia="en-GB"/>
            <w14:ligatures w14:val="standardContextual"/>
          </w:rPr>
          <w:tab/>
        </w:r>
        <w:r w:rsidRPr="003E3083">
          <w:rPr>
            <w:rStyle w:val="Hyperlink"/>
          </w:rPr>
          <w:t>Assume implicit priorities based on the order of configuration</w:t>
        </w:r>
      </w:hyperlink>
    </w:p>
    <w:p w14:paraId="3BCC1EB0" w14:textId="77777777" w:rsidR="007913D6" w:rsidRDefault="007913D6">
      <w:pPr>
        <w:pStyle w:val="TOC1"/>
        <w:rPr>
          <w:rFonts w:asciiTheme="minorHAnsi" w:eastAsiaTheme="minorEastAsia" w:hAnsiTheme="minorHAnsi"/>
          <w:b w:val="0"/>
          <w:iCs w:val="0"/>
          <w:kern w:val="2"/>
          <w:sz w:val="22"/>
          <w:lang w:val="en-GB" w:eastAsia="en-GB"/>
          <w14:ligatures w14:val="standardContextual"/>
        </w:rPr>
      </w:pPr>
      <w:hyperlink w:anchor="_Toc149938144" w:history="1">
        <w:r w:rsidRPr="003E3083">
          <w:rPr>
            <w:rStyle w:val="Hyperlink"/>
          </w:rPr>
          <w:t>Proposal 2: RAN4 to discuss whether the availability of high priority frequency layers in a given satellite might be used to decide which satellite to measure in all frequency layers, when there is no difference in priority between the satellites.</w:t>
        </w:r>
      </w:hyperlink>
    </w:p>
    <w:p w14:paraId="20C21451" w14:textId="77777777" w:rsidR="007913D6" w:rsidRDefault="007913D6">
      <w:pPr>
        <w:pStyle w:val="TOC1"/>
        <w:rPr>
          <w:rFonts w:asciiTheme="minorHAnsi" w:eastAsiaTheme="minorEastAsia" w:hAnsiTheme="minorHAnsi"/>
          <w:b w:val="0"/>
          <w:iCs w:val="0"/>
          <w:kern w:val="2"/>
          <w:sz w:val="22"/>
          <w:lang w:val="en-GB" w:eastAsia="en-GB"/>
          <w14:ligatures w14:val="standardContextual"/>
        </w:rPr>
      </w:pPr>
      <w:hyperlink w:anchor="_Toc149938145" w:history="1">
        <w:r w:rsidRPr="003E3083">
          <w:rPr>
            <w:rStyle w:val="Hyperlink"/>
            <w:lang w:val="en-GB"/>
          </w:rPr>
          <w:t>Proposal 3: When a UE starts neighbor cell measurements based on time-based measurement initiation (e.g. T</w:t>
        </w:r>
        <w:r w:rsidRPr="003E3083">
          <w:rPr>
            <w:rStyle w:val="Hyperlink"/>
            <w:vertAlign w:val="subscript"/>
            <w:lang w:val="en-GB"/>
          </w:rPr>
          <w:t>trigger</w:t>
        </w:r>
        <w:r w:rsidRPr="003E3083">
          <w:rPr>
            <w:rStyle w:val="Hyperlink"/>
            <w:lang w:val="en-GB"/>
          </w:rPr>
          <w:t xml:space="preserve"> before t-service), the UE skips the serving cell measurements when the following side conditions are met:</w:t>
        </w:r>
      </w:hyperlink>
    </w:p>
    <w:p w14:paraId="50921AC0" w14:textId="77777777" w:rsidR="007913D6" w:rsidRDefault="007913D6">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9938146" w:history="1">
        <w:r w:rsidRPr="003E3083">
          <w:rPr>
            <w:rStyle w:val="Hyperlink"/>
            <w:lang w:val="en-GB"/>
          </w:rPr>
          <w:t>a.</w:t>
        </w:r>
        <w:r>
          <w:rPr>
            <w:rFonts w:asciiTheme="minorHAnsi" w:eastAsiaTheme="minorEastAsia" w:hAnsiTheme="minorHAnsi"/>
            <w:b w:val="0"/>
            <w:iCs w:val="0"/>
            <w:kern w:val="2"/>
            <w:sz w:val="22"/>
            <w:lang w:val="en-GB" w:eastAsia="en-GB"/>
            <w14:ligatures w14:val="standardContextual"/>
          </w:rPr>
          <w:tab/>
        </w:r>
        <w:r w:rsidRPr="003E3083">
          <w:rPr>
            <w:rStyle w:val="Hyperlink"/>
            <w:lang w:val="en-GB"/>
          </w:rPr>
          <w:t>When skipping serving cell measurements reduces the value of Ksatellite (i.e. no neighbor cell is configured for measurements in the same satellite as the serving cell)</w:t>
        </w:r>
      </w:hyperlink>
    </w:p>
    <w:p w14:paraId="101921DA" w14:textId="77777777" w:rsidR="007913D6" w:rsidRDefault="007913D6">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9938147" w:history="1">
        <w:r w:rsidRPr="003E3083">
          <w:rPr>
            <w:rStyle w:val="Hyperlink"/>
            <w:lang w:val="en-GB"/>
          </w:rPr>
          <w:t>b.</w:t>
        </w:r>
        <w:r>
          <w:rPr>
            <w:rFonts w:asciiTheme="minorHAnsi" w:eastAsiaTheme="minorEastAsia" w:hAnsiTheme="minorHAnsi"/>
            <w:b w:val="0"/>
            <w:iCs w:val="0"/>
            <w:kern w:val="2"/>
            <w:sz w:val="22"/>
            <w:lang w:val="en-GB" w:eastAsia="en-GB"/>
            <w14:ligatures w14:val="standardContextual"/>
          </w:rPr>
          <w:tab/>
        </w:r>
        <w:r w:rsidRPr="003E3083">
          <w:rPr>
            <w:rStyle w:val="Hyperlink"/>
            <w:lang w:val="en-GB"/>
          </w:rPr>
          <w:t>The S-Criterion is still met by the serving cell, according to the most recent measurements on the serving cell.</w:t>
        </w:r>
      </w:hyperlink>
    </w:p>
    <w:p w14:paraId="2F346377" w14:textId="77777777" w:rsidR="007913D6" w:rsidRDefault="007913D6">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9938148" w:history="1">
        <w:r w:rsidRPr="003E3083">
          <w:rPr>
            <w:rStyle w:val="Hyperlink"/>
            <w:lang w:val="en-GB"/>
          </w:rPr>
          <w:t>c.</w:t>
        </w:r>
        <w:r>
          <w:rPr>
            <w:rFonts w:asciiTheme="minorHAnsi" w:eastAsiaTheme="minorEastAsia" w:hAnsiTheme="minorHAnsi"/>
            <w:b w:val="0"/>
            <w:iCs w:val="0"/>
            <w:kern w:val="2"/>
            <w:sz w:val="22"/>
            <w:lang w:val="en-GB" w:eastAsia="en-GB"/>
            <w14:ligatures w14:val="standardContextual"/>
          </w:rPr>
          <w:tab/>
        </w:r>
        <w:r w:rsidRPr="003E3083">
          <w:rPr>
            <w:rStyle w:val="Hyperlink"/>
            <w:lang w:val="en-GB"/>
          </w:rPr>
          <w:t>If those conditions are met, the UE is allowed to use the last value for the serving cell measurements for cell reselection purpose until t-service is reached.</w:t>
        </w:r>
      </w:hyperlink>
    </w:p>
    <w:p w14:paraId="07D899B6" w14:textId="77777777" w:rsidR="007913D6" w:rsidRDefault="007913D6">
      <w:pPr>
        <w:pStyle w:val="TOC1"/>
        <w:rPr>
          <w:rFonts w:asciiTheme="minorHAnsi" w:eastAsiaTheme="minorEastAsia" w:hAnsiTheme="minorHAnsi"/>
          <w:b w:val="0"/>
          <w:iCs w:val="0"/>
          <w:kern w:val="2"/>
          <w:sz w:val="22"/>
          <w:lang w:val="en-GB" w:eastAsia="en-GB"/>
          <w14:ligatures w14:val="standardContextual"/>
        </w:rPr>
      </w:pPr>
      <w:hyperlink w:anchor="_Toc149938149" w:history="1">
        <w:r w:rsidRPr="003E3083">
          <w:rPr>
            <w:rStyle w:val="Hyperlink"/>
          </w:rPr>
          <w:t>Observation 1: If no time-based trigger is used for starting the measurements, the requirements for time-based measurement initiation are not applicable.</w:t>
        </w:r>
      </w:hyperlink>
    </w:p>
    <w:p w14:paraId="1B8D878D" w14:textId="77777777" w:rsidR="007913D6" w:rsidRDefault="007913D6">
      <w:pPr>
        <w:pStyle w:val="TOC1"/>
        <w:rPr>
          <w:rFonts w:asciiTheme="minorHAnsi" w:eastAsiaTheme="minorEastAsia" w:hAnsiTheme="minorHAnsi"/>
          <w:b w:val="0"/>
          <w:iCs w:val="0"/>
          <w:kern w:val="2"/>
          <w:sz w:val="22"/>
          <w:lang w:val="en-GB" w:eastAsia="en-GB"/>
          <w14:ligatures w14:val="standardContextual"/>
        </w:rPr>
      </w:pPr>
      <w:hyperlink w:anchor="_Toc149938150" w:history="1">
        <w:r w:rsidRPr="003E3083">
          <w:rPr>
            <w:rStyle w:val="Hyperlink"/>
          </w:rPr>
          <w:t>Proposal 4: NB-IoT UE shall start time-based neighbor cell measurements:</w:t>
        </w:r>
      </w:hyperlink>
    </w:p>
    <w:p w14:paraId="1F95FB0D" w14:textId="77777777" w:rsidR="007913D6" w:rsidRDefault="007913D6">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9938151" w:history="1">
        <w:r w:rsidRPr="003E3083">
          <w:rPr>
            <w:rStyle w:val="Hyperlink"/>
          </w:rPr>
          <w:t>a.</w:t>
        </w:r>
        <w:r>
          <w:rPr>
            <w:rFonts w:asciiTheme="minorHAnsi" w:eastAsiaTheme="minorEastAsia" w:hAnsiTheme="minorHAnsi"/>
            <w:b w:val="0"/>
            <w:iCs w:val="0"/>
            <w:kern w:val="2"/>
            <w:sz w:val="22"/>
            <w:lang w:val="en-GB" w:eastAsia="en-GB"/>
            <w14:ligatures w14:val="standardContextual"/>
          </w:rPr>
          <w:tab/>
        </w:r>
        <w:r w:rsidRPr="003E3083">
          <w:rPr>
            <w:rStyle w:val="Hyperlink"/>
          </w:rPr>
          <w:t>If no t-serviceStartNeigh is provided, it is up for UE implementation</w:t>
        </w:r>
      </w:hyperlink>
    </w:p>
    <w:p w14:paraId="57CCD87E" w14:textId="77777777" w:rsidR="007913D6" w:rsidRDefault="007913D6">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9938152" w:history="1">
        <w:r w:rsidRPr="003E3083">
          <w:rPr>
            <w:rStyle w:val="Hyperlink"/>
          </w:rPr>
          <w:t>b.</w:t>
        </w:r>
        <w:r>
          <w:rPr>
            <w:rFonts w:asciiTheme="minorHAnsi" w:eastAsiaTheme="minorEastAsia" w:hAnsiTheme="minorHAnsi"/>
            <w:b w:val="0"/>
            <w:iCs w:val="0"/>
            <w:kern w:val="2"/>
            <w:sz w:val="22"/>
            <w:lang w:val="en-GB" w:eastAsia="en-GB"/>
            <w14:ligatures w14:val="standardContextual"/>
          </w:rPr>
          <w:tab/>
        </w:r>
        <w:r w:rsidRPr="003E3083">
          <w:rPr>
            <w:rStyle w:val="Hyperlink"/>
          </w:rPr>
          <w:t>If t-serviceStartNeigh is provided for the neighbor cells, measurements shall start at tinitiate_inter = min( [Y] DRX Cycles, tService-tServiceStartNeigh) before t-service</w:t>
        </w:r>
      </w:hyperlink>
    </w:p>
    <w:p w14:paraId="689A5182" w14:textId="77777777" w:rsidR="007913D6" w:rsidRDefault="007913D6">
      <w:pPr>
        <w:pStyle w:val="TOC1"/>
        <w:rPr>
          <w:rFonts w:asciiTheme="minorHAnsi" w:eastAsiaTheme="minorEastAsia" w:hAnsiTheme="minorHAnsi"/>
          <w:b w:val="0"/>
          <w:iCs w:val="0"/>
          <w:kern w:val="2"/>
          <w:sz w:val="22"/>
          <w:lang w:val="en-GB" w:eastAsia="en-GB"/>
          <w14:ligatures w14:val="standardContextual"/>
        </w:rPr>
      </w:pPr>
      <w:hyperlink w:anchor="_Toc149938153" w:history="1">
        <w:r w:rsidRPr="003E3083">
          <w:rPr>
            <w:rStyle w:val="Hyperlink"/>
          </w:rPr>
          <w:t>Proposal 5: Do not define a point in time for UE to initiate measurements before losing its coverage on Earth Moving Cell scenarios (for both NB-IoT and eMTC).</w:t>
        </w:r>
      </w:hyperlink>
    </w:p>
    <w:p w14:paraId="0335CC1C" w14:textId="77777777" w:rsidR="007913D6" w:rsidRDefault="007913D6">
      <w:pPr>
        <w:pStyle w:val="TOC1"/>
        <w:rPr>
          <w:rFonts w:asciiTheme="minorHAnsi" w:eastAsiaTheme="minorEastAsia" w:hAnsiTheme="minorHAnsi"/>
          <w:b w:val="0"/>
          <w:iCs w:val="0"/>
          <w:kern w:val="2"/>
          <w:sz w:val="22"/>
          <w:lang w:val="en-GB" w:eastAsia="en-GB"/>
          <w14:ligatures w14:val="standardContextual"/>
        </w:rPr>
      </w:pPr>
      <w:hyperlink w:anchor="_Toc149938154" w:history="1">
        <w:r w:rsidRPr="003E3083">
          <w:rPr>
            <w:rStyle w:val="Hyperlink"/>
          </w:rPr>
          <w:t>Proposal 6: For eMTC, time-based measurement initiation is only applicable for the cases where the UE does not require a MG (e.g. intra-frequency measurements, for cells in the same satellite, if any is configured).</w:t>
        </w:r>
      </w:hyperlink>
    </w:p>
    <w:p w14:paraId="41E40685" w14:textId="77777777" w:rsidR="007913D6" w:rsidRDefault="007913D6">
      <w:pPr>
        <w:pStyle w:val="TOC1"/>
        <w:rPr>
          <w:rFonts w:asciiTheme="minorHAnsi" w:eastAsiaTheme="minorEastAsia" w:hAnsiTheme="minorHAnsi"/>
          <w:b w:val="0"/>
          <w:iCs w:val="0"/>
          <w:kern w:val="2"/>
          <w:sz w:val="22"/>
          <w:lang w:val="en-GB" w:eastAsia="en-GB"/>
          <w14:ligatures w14:val="standardContextual"/>
        </w:rPr>
      </w:pPr>
      <w:hyperlink w:anchor="_Toc149938155" w:history="1">
        <w:r w:rsidRPr="003E3083">
          <w:rPr>
            <w:rStyle w:val="Hyperlink"/>
          </w:rPr>
          <w:t>Proposal 7: Revise the agreement for T trigger, to include only the measurements where a MG is not needed.</w:t>
        </w:r>
      </w:hyperlink>
    </w:p>
    <w:p w14:paraId="63DAE692" w14:textId="77777777" w:rsidR="007913D6" w:rsidRDefault="007913D6">
      <w:pPr>
        <w:pStyle w:val="TOC1"/>
        <w:rPr>
          <w:rFonts w:asciiTheme="minorHAnsi" w:eastAsiaTheme="minorEastAsia" w:hAnsiTheme="minorHAnsi"/>
          <w:b w:val="0"/>
          <w:iCs w:val="0"/>
          <w:kern w:val="2"/>
          <w:sz w:val="22"/>
          <w:lang w:val="en-GB" w:eastAsia="en-GB"/>
          <w14:ligatures w14:val="standardContextual"/>
        </w:rPr>
      </w:pPr>
      <w:hyperlink w:anchor="_Toc149938156" w:history="1">
        <w:r w:rsidRPr="003E3083">
          <w:rPr>
            <w:rStyle w:val="Hyperlink"/>
          </w:rPr>
          <w:t>Proposal 8: Discuss the effect of t-serviceStartNeigh on Ttrigger</w:t>
        </w:r>
      </w:hyperlink>
    </w:p>
    <w:p w14:paraId="5FCC601B" w14:textId="77777777" w:rsidR="007913D6" w:rsidRDefault="007913D6">
      <w:pPr>
        <w:pStyle w:val="TOC1"/>
        <w:rPr>
          <w:rFonts w:asciiTheme="minorHAnsi" w:eastAsiaTheme="minorEastAsia" w:hAnsiTheme="minorHAnsi"/>
          <w:b w:val="0"/>
          <w:iCs w:val="0"/>
          <w:kern w:val="2"/>
          <w:sz w:val="22"/>
          <w:lang w:val="en-GB" w:eastAsia="en-GB"/>
          <w14:ligatures w14:val="standardContextual"/>
        </w:rPr>
      </w:pPr>
      <w:hyperlink w:anchor="_Toc149938157" w:history="1">
        <w:r w:rsidRPr="003E3083">
          <w:rPr>
            <w:rStyle w:val="Hyperlink"/>
          </w:rPr>
          <w:t>Proposal 9: For eMTC, location-based measurement initiation is only applicable for the cases where the UE does not require a MG (e.g. intra-frequency measurements, for cells in the same satellite, if any is configured).</w:t>
        </w:r>
      </w:hyperlink>
    </w:p>
    <w:p w14:paraId="3E8FC952" w14:textId="77777777" w:rsidR="007913D6" w:rsidRDefault="007913D6">
      <w:pPr>
        <w:pStyle w:val="TOC1"/>
        <w:rPr>
          <w:rFonts w:asciiTheme="minorHAnsi" w:eastAsiaTheme="minorEastAsia" w:hAnsiTheme="minorHAnsi"/>
          <w:b w:val="0"/>
          <w:iCs w:val="0"/>
          <w:kern w:val="2"/>
          <w:sz w:val="22"/>
          <w:lang w:val="en-GB" w:eastAsia="en-GB"/>
          <w14:ligatures w14:val="standardContextual"/>
        </w:rPr>
      </w:pPr>
      <w:hyperlink w:anchor="_Toc149938158" w:history="1">
        <w:r w:rsidRPr="003E3083">
          <w:rPr>
            <w:rStyle w:val="Hyperlink"/>
          </w:rPr>
          <w:t>Proposal 10: If the UE is provided with MG for neighbor cell measurements, if t-serviceStartNeigh is provided for a given frequency, the UE is allowed to drop the MGs for that frequency. The MG might be used for measurements in different frequencies.</w:t>
        </w:r>
      </w:hyperlink>
    </w:p>
    <w:p w14:paraId="2D2B1CA4" w14:textId="77777777" w:rsidR="007913D6" w:rsidRDefault="007913D6">
      <w:pPr>
        <w:pStyle w:val="TOC1"/>
        <w:rPr>
          <w:rFonts w:asciiTheme="minorHAnsi" w:eastAsiaTheme="minorEastAsia" w:hAnsiTheme="minorHAnsi"/>
          <w:b w:val="0"/>
          <w:iCs w:val="0"/>
          <w:kern w:val="2"/>
          <w:sz w:val="22"/>
          <w:lang w:val="en-GB" w:eastAsia="en-GB"/>
          <w14:ligatures w14:val="standardContextual"/>
        </w:rPr>
      </w:pPr>
      <w:hyperlink w:anchor="_Toc149938159" w:history="1">
        <w:r w:rsidRPr="003E3083">
          <w:rPr>
            <w:rStyle w:val="Hyperlink"/>
          </w:rPr>
          <w:t>Observation 2: As GNSS-MG are expected to be frequently configured &amp; triggered, option 1 would ensue in frequently having non-applicable requirements for RLM.</w:t>
        </w:r>
      </w:hyperlink>
    </w:p>
    <w:p w14:paraId="69F68EDA" w14:textId="77777777" w:rsidR="007913D6" w:rsidRDefault="007913D6">
      <w:pPr>
        <w:pStyle w:val="TOC1"/>
        <w:rPr>
          <w:rFonts w:asciiTheme="minorHAnsi" w:eastAsiaTheme="minorEastAsia" w:hAnsiTheme="minorHAnsi"/>
          <w:b w:val="0"/>
          <w:iCs w:val="0"/>
          <w:kern w:val="2"/>
          <w:sz w:val="22"/>
          <w:lang w:val="en-GB" w:eastAsia="en-GB"/>
          <w14:ligatures w14:val="standardContextual"/>
        </w:rPr>
      </w:pPr>
      <w:hyperlink w:anchor="_Toc149938160" w:history="1">
        <w:r w:rsidRPr="003E3083">
          <w:rPr>
            <w:rStyle w:val="Hyperlink"/>
          </w:rPr>
          <w:t>Observation 3: In some scenarios, the full duration of a GNSS-MG is confined withing one eDRX_Conn_cyle.</w:t>
        </w:r>
      </w:hyperlink>
    </w:p>
    <w:p w14:paraId="32D321C7" w14:textId="77777777" w:rsidR="007913D6" w:rsidRDefault="007913D6">
      <w:pPr>
        <w:pStyle w:val="TOC1"/>
        <w:rPr>
          <w:rFonts w:asciiTheme="minorHAnsi" w:eastAsiaTheme="minorEastAsia" w:hAnsiTheme="minorHAnsi"/>
          <w:b w:val="0"/>
          <w:iCs w:val="0"/>
          <w:kern w:val="2"/>
          <w:sz w:val="22"/>
          <w:lang w:val="en-GB" w:eastAsia="en-GB"/>
          <w14:ligatures w14:val="standardContextual"/>
        </w:rPr>
      </w:pPr>
      <w:hyperlink w:anchor="_Toc149938161" w:history="1">
        <w:r w:rsidRPr="003E3083">
          <w:rPr>
            <w:rStyle w:val="Hyperlink"/>
          </w:rPr>
          <w:t>Proposal 11: For the cases where the GNSS-MG is smaller than the eDRX cycle, the RLM requirements are still applicable.</w:t>
        </w:r>
      </w:hyperlink>
    </w:p>
    <w:p w14:paraId="68C3AE4D" w14:textId="77777777" w:rsidR="007913D6" w:rsidRDefault="007913D6">
      <w:pPr>
        <w:pStyle w:val="TOC1"/>
        <w:rPr>
          <w:rFonts w:asciiTheme="minorHAnsi" w:eastAsiaTheme="minorEastAsia" w:hAnsiTheme="minorHAnsi"/>
          <w:b w:val="0"/>
          <w:iCs w:val="0"/>
          <w:kern w:val="2"/>
          <w:sz w:val="22"/>
          <w:lang w:val="en-GB" w:eastAsia="en-GB"/>
          <w14:ligatures w14:val="standardContextual"/>
        </w:rPr>
      </w:pPr>
      <w:hyperlink w:anchor="_Toc149938162" w:history="1">
        <w:r w:rsidRPr="003E3083">
          <w:rPr>
            <w:rStyle w:val="Hyperlink"/>
          </w:rPr>
          <w:t>Proposal 12: When the GNSS-MG is shorter than the (e)DRX cycle and it collides with the on Duration part of one (e)DRX cycle, the time to evaluate requirements might be extended by one (e)DRX cycle.</w:t>
        </w:r>
      </w:hyperlink>
    </w:p>
    <w:p w14:paraId="3602A61A" w14:textId="77777777" w:rsidR="007913D6" w:rsidRDefault="007913D6">
      <w:pPr>
        <w:pStyle w:val="TOC1"/>
        <w:rPr>
          <w:rFonts w:asciiTheme="minorHAnsi" w:eastAsiaTheme="minorEastAsia" w:hAnsiTheme="minorHAnsi"/>
          <w:b w:val="0"/>
          <w:iCs w:val="0"/>
          <w:kern w:val="2"/>
          <w:sz w:val="22"/>
          <w:lang w:val="en-GB" w:eastAsia="en-GB"/>
          <w14:ligatures w14:val="standardContextual"/>
        </w:rPr>
      </w:pPr>
      <w:hyperlink w:anchor="_Toc149938163" w:history="1">
        <w:r w:rsidRPr="003E3083">
          <w:rPr>
            <w:rStyle w:val="Hyperlink"/>
          </w:rPr>
          <w:t>Proposal 13: When the UE is configured with eDRX cycle, and the GNSS-MG is larger than the eDRX cycle, the requirements applicable right after the GNSS-MG shall be corresponding to a DRX cycle of [1.28] s.</w:t>
        </w:r>
      </w:hyperlink>
    </w:p>
    <w:p w14:paraId="3E13CEE0" w14:textId="1EAAFD07" w:rsidR="00847264" w:rsidRPr="008C39F7" w:rsidRDefault="00545190" w:rsidP="008C39F7">
      <w:r>
        <w:fldChar w:fldCharType="end"/>
      </w:r>
    </w:p>
    <w:p w14:paraId="18F43DB2" w14:textId="77777777" w:rsidR="003B659E" w:rsidRPr="008C39F7" w:rsidRDefault="003B659E" w:rsidP="0060543D">
      <w:pPr>
        <w:pStyle w:val="RAN4H1"/>
        <w:numPr>
          <w:ilvl w:val="0"/>
          <w:numId w:val="0"/>
        </w:numPr>
        <w:ind w:left="360" w:hanging="360"/>
      </w:pPr>
      <w:r w:rsidRPr="008C39F7">
        <w:t>References</w:t>
      </w:r>
      <w:bookmarkEnd w:id="32"/>
    </w:p>
    <w:p w14:paraId="054FDFCC" w14:textId="77777777" w:rsidR="00AF1CAB" w:rsidRPr="00A37792" w:rsidRDefault="00AF1CAB" w:rsidP="00AF1CAB">
      <w:pPr>
        <w:pStyle w:val="ListParagraph"/>
        <w:numPr>
          <w:ilvl w:val="0"/>
          <w:numId w:val="27"/>
        </w:numPr>
        <w:ind w:right="-22"/>
      </w:pPr>
      <w:bookmarkStart w:id="33" w:name="_Ref114500673"/>
      <w:bookmarkStart w:id="34" w:name="_Ref115097759"/>
      <w:bookmarkStart w:id="35" w:name="_Ref115097774"/>
      <w:bookmarkEnd w:id="33"/>
      <w:r w:rsidRPr="00A37792">
        <w:t>TR 36.763, “Study on Narrow-Band Internet of Things (NB-IoT) / enhanced Machine Type Communication (eMTC) support for Non-Terrestrial Networks (NTN)”</w:t>
      </w:r>
      <w:bookmarkEnd w:id="34"/>
      <w:r w:rsidRPr="00A37792">
        <w:t xml:space="preserve">  </w:t>
      </w:r>
    </w:p>
    <w:p w14:paraId="64493B52" w14:textId="77777777" w:rsidR="00AF1CAB" w:rsidRPr="00A37792" w:rsidRDefault="00AF1CAB" w:rsidP="00AF1CAB">
      <w:pPr>
        <w:pStyle w:val="ListParagraph"/>
        <w:numPr>
          <w:ilvl w:val="0"/>
          <w:numId w:val="27"/>
        </w:numPr>
        <w:ind w:right="-22"/>
      </w:pPr>
      <w:bookmarkStart w:id="36" w:name="_Ref115097767"/>
      <w:r w:rsidRPr="00A37792">
        <w:t>RP-211601 – NB-IoT/eMTC support for Non-Terrestrial Networks</w:t>
      </w:r>
      <w:bookmarkEnd w:id="36"/>
      <w:r w:rsidRPr="00A37792">
        <w:t xml:space="preserve"> </w:t>
      </w:r>
    </w:p>
    <w:p w14:paraId="6875AB0D" w14:textId="77777777" w:rsidR="00AF1CAB" w:rsidRPr="00DE09B1" w:rsidRDefault="00AF1CAB" w:rsidP="00AF1CAB">
      <w:pPr>
        <w:pStyle w:val="ListParagraph"/>
        <w:numPr>
          <w:ilvl w:val="0"/>
          <w:numId w:val="27"/>
        </w:numPr>
        <w:spacing w:after="0" w:line="256" w:lineRule="auto"/>
        <w:ind w:right="-22"/>
      </w:pPr>
      <w:bookmarkStart w:id="37" w:name="_Ref130395430"/>
      <w:bookmarkStart w:id="38" w:name="_Ref131892878"/>
      <w:r w:rsidRPr="00A37792">
        <w:t xml:space="preserve">RP-220979– </w:t>
      </w:r>
      <w:bookmarkEnd w:id="35"/>
      <w:bookmarkEnd w:id="37"/>
      <w:r w:rsidRPr="00A37792">
        <w:rPr>
          <w:i/>
          <w:iCs/>
        </w:rPr>
        <w:t xml:space="preserve">Revised WID on IoT NTN enhancements, </w:t>
      </w:r>
      <w:proofErr w:type="spellStart"/>
      <w:r w:rsidRPr="00A37792">
        <w:t>Mediatek</w:t>
      </w:r>
      <w:proofErr w:type="spellEnd"/>
      <w:r w:rsidRPr="00A37792">
        <w:t>, RAN 95, Electronic Meeting, March 17 - 23, 2022</w:t>
      </w:r>
      <w:bookmarkEnd w:id="38"/>
    </w:p>
    <w:p w14:paraId="518BFC43" w14:textId="44AD170A" w:rsidR="00AF1CAB" w:rsidRDefault="00005A43" w:rsidP="00AF1CAB">
      <w:pPr>
        <w:pStyle w:val="ListParagraph"/>
        <w:numPr>
          <w:ilvl w:val="0"/>
          <w:numId w:val="27"/>
        </w:numPr>
        <w:spacing w:after="0" w:line="256" w:lineRule="auto"/>
        <w:ind w:right="-22"/>
      </w:pPr>
      <w:bookmarkStart w:id="39" w:name="_Ref142407402"/>
      <w:bookmarkStart w:id="40" w:name="_Ref118189778"/>
      <w:bookmarkStart w:id="41" w:name="_Ref127447438"/>
      <w:r w:rsidRPr="00005A43">
        <w:t>R4-2314371</w:t>
      </w:r>
      <w:r w:rsidR="00AF1CAB">
        <w:t xml:space="preserve">, </w:t>
      </w:r>
      <w:r w:rsidR="00AF1CAB" w:rsidRPr="00750EAF">
        <w:rPr>
          <w:i/>
          <w:iCs/>
        </w:rPr>
        <w:t xml:space="preserve">WF on </w:t>
      </w:r>
      <w:r>
        <w:rPr>
          <w:i/>
          <w:iCs/>
        </w:rPr>
        <w:t xml:space="preserve">R18 </w:t>
      </w:r>
      <w:r w:rsidR="00AF1CAB" w:rsidRPr="00750EAF">
        <w:rPr>
          <w:i/>
          <w:iCs/>
        </w:rPr>
        <w:t>IoT NTN RRM requirements</w:t>
      </w:r>
      <w:r w:rsidR="00AF1CAB">
        <w:t xml:space="preserve">, </w:t>
      </w:r>
      <w:proofErr w:type="spellStart"/>
      <w:r w:rsidR="00AF1CAB">
        <w:t>Mediatek</w:t>
      </w:r>
      <w:proofErr w:type="spellEnd"/>
      <w:r w:rsidR="00AF1CAB">
        <w:t>, RAN WG4 #10</w:t>
      </w:r>
      <w:r>
        <w:t>8</w:t>
      </w:r>
      <w:r w:rsidR="00AF1CAB">
        <w:t xml:space="preserve">, </w:t>
      </w:r>
      <w:bookmarkEnd w:id="39"/>
      <w:proofErr w:type="gramStart"/>
      <w:r>
        <w:t>Toulouse</w:t>
      </w:r>
      <w:proofErr w:type="gramEnd"/>
    </w:p>
    <w:p w14:paraId="0161082E" w14:textId="23253797" w:rsidR="000040DC" w:rsidRDefault="003D0630" w:rsidP="00AF1CAB">
      <w:pPr>
        <w:pStyle w:val="ListParagraph"/>
        <w:numPr>
          <w:ilvl w:val="0"/>
          <w:numId w:val="27"/>
        </w:numPr>
        <w:spacing w:after="0" w:line="256" w:lineRule="auto"/>
        <w:ind w:right="-22"/>
      </w:pPr>
      <w:bookmarkStart w:id="42" w:name="_Ref149636896"/>
      <w:r w:rsidRPr="003D0630">
        <w:t>R4-2317395</w:t>
      </w:r>
      <w:r>
        <w:t xml:space="preserve">, </w:t>
      </w:r>
      <w:r w:rsidRPr="003D0630">
        <w:rPr>
          <w:i/>
          <w:iCs/>
        </w:rPr>
        <w:t>WF on R18 IoT NTN RRM requirements</w:t>
      </w:r>
      <w:r>
        <w:rPr>
          <w:i/>
          <w:iCs/>
        </w:rPr>
        <w:t>,</w:t>
      </w:r>
      <w:r>
        <w:t xml:space="preserve"> </w:t>
      </w:r>
      <w:proofErr w:type="spellStart"/>
      <w:r>
        <w:t>Mediatek</w:t>
      </w:r>
      <w:proofErr w:type="spellEnd"/>
      <w:r>
        <w:t>, RAN WG4 #108-bis, Xiamen, China.</w:t>
      </w:r>
      <w:bookmarkEnd w:id="40"/>
      <w:bookmarkEnd w:id="41"/>
      <w:bookmarkEnd w:id="42"/>
    </w:p>
    <w:p w14:paraId="6C768346" w14:textId="77777777" w:rsidR="00670B54" w:rsidRDefault="00670B54" w:rsidP="00670B54">
      <w:pPr>
        <w:spacing w:after="0" w:line="256" w:lineRule="auto"/>
        <w:ind w:right="-22"/>
      </w:pPr>
    </w:p>
    <w:p w14:paraId="5A61CE5F" w14:textId="77777777" w:rsidR="00670B54" w:rsidRDefault="00670B54" w:rsidP="00670B54">
      <w:pPr>
        <w:spacing w:after="0" w:line="256" w:lineRule="auto"/>
        <w:ind w:right="-22"/>
      </w:pPr>
    </w:p>
    <w:p w14:paraId="5AF2DDE1" w14:textId="5E5BA383" w:rsidR="00670B54" w:rsidRPr="00847264" w:rsidRDefault="00670B54" w:rsidP="00670B54">
      <w:pPr>
        <w:spacing w:after="0" w:line="256" w:lineRule="auto"/>
        <w:ind w:right="-22"/>
      </w:pPr>
    </w:p>
    <w:sectPr w:rsidR="00670B54"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0F3C8" w14:textId="77777777" w:rsidR="00461005" w:rsidRDefault="00461005" w:rsidP="00001C9B">
      <w:pPr>
        <w:spacing w:after="0" w:line="240" w:lineRule="auto"/>
      </w:pPr>
      <w:r>
        <w:separator/>
      </w:r>
    </w:p>
  </w:endnote>
  <w:endnote w:type="continuationSeparator" w:id="0">
    <w:p w14:paraId="13ACA31E" w14:textId="77777777" w:rsidR="00461005" w:rsidRDefault="00461005" w:rsidP="00001C9B">
      <w:pPr>
        <w:spacing w:after="0" w:line="240" w:lineRule="auto"/>
      </w:pPr>
      <w:r>
        <w:continuationSeparator/>
      </w:r>
    </w:p>
  </w:endnote>
  <w:endnote w:type="continuationNotice" w:id="1">
    <w:p w14:paraId="00D1C340" w14:textId="77777777" w:rsidR="00461005" w:rsidRDefault="004610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7C166" w14:textId="77777777" w:rsidR="00461005" w:rsidRDefault="00461005" w:rsidP="00001C9B">
      <w:pPr>
        <w:spacing w:after="0" w:line="240" w:lineRule="auto"/>
      </w:pPr>
      <w:r>
        <w:separator/>
      </w:r>
    </w:p>
  </w:footnote>
  <w:footnote w:type="continuationSeparator" w:id="0">
    <w:p w14:paraId="3B846C76" w14:textId="77777777" w:rsidR="00461005" w:rsidRDefault="00461005" w:rsidP="00001C9B">
      <w:pPr>
        <w:spacing w:after="0" w:line="240" w:lineRule="auto"/>
      </w:pPr>
      <w:r>
        <w:continuationSeparator/>
      </w:r>
    </w:p>
  </w:footnote>
  <w:footnote w:type="continuationNotice" w:id="1">
    <w:p w14:paraId="0D1368BC" w14:textId="77777777" w:rsidR="00461005" w:rsidRDefault="004610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673715"/>
    <w:multiLevelType w:val="hybridMultilevel"/>
    <w:tmpl w:val="C2E2F8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33597D"/>
    <w:multiLevelType w:val="hybridMultilevel"/>
    <w:tmpl w:val="0F5EF8FA"/>
    <w:lvl w:ilvl="0" w:tplc="0406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D372D4"/>
    <w:multiLevelType w:val="hybridMultilevel"/>
    <w:tmpl w:val="0B90D8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3636F"/>
    <w:multiLevelType w:val="hybridMultilevel"/>
    <w:tmpl w:val="B9CE9A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1042F7"/>
    <w:multiLevelType w:val="hybridMultilevel"/>
    <w:tmpl w:val="945C0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706EF"/>
    <w:multiLevelType w:val="hybridMultilevel"/>
    <w:tmpl w:val="6D4676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ED101166"/>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BCA698B"/>
    <w:multiLevelType w:val="hybridMultilevel"/>
    <w:tmpl w:val="94A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01B8D"/>
    <w:multiLevelType w:val="hybridMultilevel"/>
    <w:tmpl w:val="7B76D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B71EF8"/>
    <w:multiLevelType w:val="hybridMultilevel"/>
    <w:tmpl w:val="7A34A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C2A1C07"/>
    <w:multiLevelType w:val="hybridMultilevel"/>
    <w:tmpl w:val="1416F0DE"/>
    <w:lvl w:ilvl="0" w:tplc="0406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532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B1652B"/>
    <w:multiLevelType w:val="hybridMultilevel"/>
    <w:tmpl w:val="CC7EA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E03D7B"/>
    <w:multiLevelType w:val="hybridMultilevel"/>
    <w:tmpl w:val="B7C6C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639BD"/>
    <w:multiLevelType w:val="hybridMultilevel"/>
    <w:tmpl w:val="62DADB0C"/>
    <w:lvl w:ilvl="0" w:tplc="0406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CDA430A"/>
    <w:multiLevelType w:val="hybridMultilevel"/>
    <w:tmpl w:val="4D5AE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6B657C"/>
    <w:multiLevelType w:val="hybridMultilevel"/>
    <w:tmpl w:val="7B2CEB94"/>
    <w:lvl w:ilvl="0" w:tplc="040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BC022C"/>
    <w:multiLevelType w:val="hybridMultilevel"/>
    <w:tmpl w:val="F18C3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D91111"/>
    <w:multiLevelType w:val="hybridMultilevel"/>
    <w:tmpl w:val="D3E2066A"/>
    <w:lvl w:ilvl="0" w:tplc="75A22616">
      <w:start w:val="1"/>
      <w:numFmt w:val="bullet"/>
      <w:lvlText w:val=""/>
      <w:lvlJc w:val="left"/>
      <w:pPr>
        <w:tabs>
          <w:tab w:val="num" w:pos="360"/>
        </w:tabs>
        <w:ind w:left="360" w:hanging="360"/>
      </w:pPr>
      <w:rPr>
        <w:rFonts w:ascii="Symbol" w:hAnsi="Symbol" w:hint="default"/>
      </w:rPr>
    </w:lvl>
    <w:lvl w:ilvl="1" w:tplc="5EFEAA18" w:tentative="1">
      <w:start w:val="1"/>
      <w:numFmt w:val="bullet"/>
      <w:lvlText w:val=""/>
      <w:lvlJc w:val="left"/>
      <w:pPr>
        <w:tabs>
          <w:tab w:val="num" w:pos="1080"/>
        </w:tabs>
        <w:ind w:left="1080" w:hanging="360"/>
      </w:pPr>
      <w:rPr>
        <w:rFonts w:ascii="Symbol" w:hAnsi="Symbol" w:hint="default"/>
      </w:rPr>
    </w:lvl>
    <w:lvl w:ilvl="2" w:tplc="FA66CDCC" w:tentative="1">
      <w:start w:val="1"/>
      <w:numFmt w:val="bullet"/>
      <w:lvlText w:val=""/>
      <w:lvlJc w:val="left"/>
      <w:pPr>
        <w:tabs>
          <w:tab w:val="num" w:pos="1800"/>
        </w:tabs>
        <w:ind w:left="1800" w:hanging="360"/>
      </w:pPr>
      <w:rPr>
        <w:rFonts w:ascii="Symbol" w:hAnsi="Symbol" w:hint="default"/>
      </w:rPr>
    </w:lvl>
    <w:lvl w:ilvl="3" w:tplc="94502DF8" w:tentative="1">
      <w:start w:val="1"/>
      <w:numFmt w:val="bullet"/>
      <w:lvlText w:val=""/>
      <w:lvlJc w:val="left"/>
      <w:pPr>
        <w:tabs>
          <w:tab w:val="num" w:pos="2520"/>
        </w:tabs>
        <w:ind w:left="2520" w:hanging="360"/>
      </w:pPr>
      <w:rPr>
        <w:rFonts w:ascii="Symbol" w:hAnsi="Symbol" w:hint="default"/>
      </w:rPr>
    </w:lvl>
    <w:lvl w:ilvl="4" w:tplc="03704C4C" w:tentative="1">
      <w:start w:val="1"/>
      <w:numFmt w:val="bullet"/>
      <w:lvlText w:val=""/>
      <w:lvlJc w:val="left"/>
      <w:pPr>
        <w:tabs>
          <w:tab w:val="num" w:pos="3240"/>
        </w:tabs>
        <w:ind w:left="3240" w:hanging="360"/>
      </w:pPr>
      <w:rPr>
        <w:rFonts w:ascii="Symbol" w:hAnsi="Symbol" w:hint="default"/>
      </w:rPr>
    </w:lvl>
    <w:lvl w:ilvl="5" w:tplc="82AA359C" w:tentative="1">
      <w:start w:val="1"/>
      <w:numFmt w:val="bullet"/>
      <w:lvlText w:val=""/>
      <w:lvlJc w:val="left"/>
      <w:pPr>
        <w:tabs>
          <w:tab w:val="num" w:pos="3960"/>
        </w:tabs>
        <w:ind w:left="3960" w:hanging="360"/>
      </w:pPr>
      <w:rPr>
        <w:rFonts w:ascii="Symbol" w:hAnsi="Symbol" w:hint="default"/>
      </w:rPr>
    </w:lvl>
    <w:lvl w:ilvl="6" w:tplc="F9E43D18" w:tentative="1">
      <w:start w:val="1"/>
      <w:numFmt w:val="bullet"/>
      <w:lvlText w:val=""/>
      <w:lvlJc w:val="left"/>
      <w:pPr>
        <w:tabs>
          <w:tab w:val="num" w:pos="4680"/>
        </w:tabs>
        <w:ind w:left="4680" w:hanging="360"/>
      </w:pPr>
      <w:rPr>
        <w:rFonts w:ascii="Symbol" w:hAnsi="Symbol" w:hint="default"/>
      </w:rPr>
    </w:lvl>
    <w:lvl w:ilvl="7" w:tplc="0AA84BCE" w:tentative="1">
      <w:start w:val="1"/>
      <w:numFmt w:val="bullet"/>
      <w:lvlText w:val=""/>
      <w:lvlJc w:val="left"/>
      <w:pPr>
        <w:tabs>
          <w:tab w:val="num" w:pos="5400"/>
        </w:tabs>
        <w:ind w:left="5400" w:hanging="360"/>
      </w:pPr>
      <w:rPr>
        <w:rFonts w:ascii="Symbol" w:hAnsi="Symbol" w:hint="default"/>
      </w:rPr>
    </w:lvl>
    <w:lvl w:ilvl="8" w:tplc="85AC884C" w:tentative="1">
      <w:start w:val="1"/>
      <w:numFmt w:val="bullet"/>
      <w:lvlText w:val=""/>
      <w:lvlJc w:val="left"/>
      <w:pPr>
        <w:tabs>
          <w:tab w:val="num" w:pos="6120"/>
        </w:tabs>
        <w:ind w:left="6120" w:hanging="360"/>
      </w:pPr>
      <w:rPr>
        <w:rFonts w:ascii="Symbol" w:hAnsi="Symbol" w:hint="default"/>
      </w:rPr>
    </w:lvl>
  </w:abstractNum>
  <w:abstractNum w:abstractNumId="3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7D6A7A"/>
    <w:multiLevelType w:val="hybridMultilevel"/>
    <w:tmpl w:val="EA4AD29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66945348">
    <w:abstractNumId w:val="2"/>
  </w:num>
  <w:num w:numId="2" w16cid:durableId="1469392472">
    <w:abstractNumId w:val="10"/>
  </w:num>
  <w:num w:numId="3" w16cid:durableId="1792749823">
    <w:abstractNumId w:val="22"/>
  </w:num>
  <w:num w:numId="4" w16cid:durableId="517735681">
    <w:abstractNumId w:val="9"/>
  </w:num>
  <w:num w:numId="5" w16cid:durableId="1142041724">
    <w:abstractNumId w:val="29"/>
  </w:num>
  <w:num w:numId="6" w16cid:durableId="80681869">
    <w:abstractNumId w:val="19"/>
  </w:num>
  <w:num w:numId="7" w16cid:durableId="1566528953">
    <w:abstractNumId w:val="21"/>
  </w:num>
  <w:num w:numId="8" w16cid:durableId="809788981">
    <w:abstractNumId w:val="21"/>
    <w:lvlOverride w:ilvl="0">
      <w:startOverride w:val="1"/>
    </w:lvlOverride>
  </w:num>
  <w:num w:numId="9" w16cid:durableId="1398822153">
    <w:abstractNumId w:val="21"/>
    <w:lvlOverride w:ilvl="0">
      <w:startOverride w:val="1"/>
    </w:lvlOverride>
  </w:num>
  <w:num w:numId="10" w16cid:durableId="1825466284">
    <w:abstractNumId w:val="21"/>
    <w:lvlOverride w:ilvl="0">
      <w:startOverride w:val="1"/>
    </w:lvlOverride>
  </w:num>
  <w:num w:numId="11" w16cid:durableId="1446922321">
    <w:abstractNumId w:val="19"/>
    <w:lvlOverride w:ilvl="0">
      <w:startOverride w:val="1"/>
    </w:lvlOverride>
  </w:num>
  <w:num w:numId="12" w16cid:durableId="122584543">
    <w:abstractNumId w:val="21"/>
    <w:lvlOverride w:ilvl="0">
      <w:startOverride w:val="1"/>
    </w:lvlOverride>
  </w:num>
  <w:num w:numId="13" w16cid:durableId="818807267">
    <w:abstractNumId w:val="19"/>
    <w:lvlOverride w:ilvl="0">
      <w:startOverride w:val="1"/>
    </w:lvlOverride>
  </w:num>
  <w:num w:numId="14" w16cid:durableId="883829348">
    <w:abstractNumId w:val="21"/>
    <w:lvlOverride w:ilvl="0">
      <w:startOverride w:val="1"/>
    </w:lvlOverride>
  </w:num>
  <w:num w:numId="15" w16cid:durableId="438372887">
    <w:abstractNumId w:val="34"/>
  </w:num>
  <w:num w:numId="16" w16cid:durableId="516113510">
    <w:abstractNumId w:val="5"/>
  </w:num>
  <w:num w:numId="17" w16cid:durableId="1456096507">
    <w:abstractNumId w:val="27"/>
  </w:num>
  <w:num w:numId="18" w16cid:durableId="1397970374">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8"/>
  </w:num>
  <w:num w:numId="21" w16cid:durableId="1659071369">
    <w:abstractNumId w:val="25"/>
  </w:num>
  <w:num w:numId="22" w16cid:durableId="1938362445">
    <w:abstractNumId w:val="19"/>
    <w:lvlOverride w:ilvl="0">
      <w:startOverride w:val="1"/>
    </w:lvlOverride>
  </w:num>
  <w:num w:numId="23" w16cid:durableId="913515990">
    <w:abstractNumId w:val="21"/>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15531540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9982738">
    <w:abstractNumId w:val="14"/>
  </w:num>
  <w:num w:numId="29" w16cid:durableId="1979799408">
    <w:abstractNumId w:val="28"/>
  </w:num>
  <w:num w:numId="30" w16cid:durableId="1830779801">
    <w:abstractNumId w:val="32"/>
  </w:num>
  <w:num w:numId="31" w16cid:durableId="245070103">
    <w:abstractNumId w:val="13"/>
  </w:num>
  <w:num w:numId="32" w16cid:durableId="1918174368">
    <w:abstractNumId w:val="8"/>
  </w:num>
  <w:num w:numId="33" w16cid:durableId="1306549073">
    <w:abstractNumId w:val="26"/>
  </w:num>
  <w:num w:numId="34" w16cid:durableId="1534925298">
    <w:abstractNumId w:val="6"/>
  </w:num>
  <w:num w:numId="35" w16cid:durableId="1930968474">
    <w:abstractNumId w:val="20"/>
  </w:num>
  <w:num w:numId="36" w16cid:durableId="1533762999">
    <w:abstractNumId w:val="35"/>
  </w:num>
  <w:num w:numId="37" w16cid:durableId="179440396">
    <w:abstractNumId w:val="33"/>
  </w:num>
  <w:num w:numId="38" w16cid:durableId="313266808">
    <w:abstractNumId w:val="31"/>
  </w:num>
  <w:num w:numId="39" w16cid:durableId="359286483">
    <w:abstractNumId w:val="0"/>
  </w:num>
  <w:num w:numId="40" w16cid:durableId="153181900">
    <w:abstractNumId w:val="3"/>
  </w:num>
  <w:num w:numId="41" w16cid:durableId="2123112679">
    <w:abstractNumId w:val="30"/>
  </w:num>
  <w:num w:numId="42" w16cid:durableId="540365528">
    <w:abstractNumId w:val="11"/>
  </w:num>
  <w:num w:numId="43" w16cid:durableId="1597206009">
    <w:abstractNumId w:val="17"/>
  </w:num>
  <w:num w:numId="44" w16cid:durableId="2132356662">
    <w:abstractNumId w:val="12"/>
  </w:num>
  <w:num w:numId="45" w16cid:durableId="670838715">
    <w:abstractNumId w:val="16"/>
  </w:num>
  <w:num w:numId="46" w16cid:durableId="1129980847">
    <w:abstractNumId w:val="7"/>
  </w:num>
  <w:num w:numId="47" w16cid:durableId="1826507842">
    <w:abstractNumId w:val="23"/>
  </w:num>
  <w:num w:numId="48" w16cid:durableId="1924606718">
    <w:abstractNumId w:val="24"/>
  </w:num>
  <w:num w:numId="49" w16cid:durableId="4309742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53EAE"/>
    <w:rsid w:val="0000044F"/>
    <w:rsid w:val="0000046C"/>
    <w:rsid w:val="00001C9B"/>
    <w:rsid w:val="000040DC"/>
    <w:rsid w:val="00005A43"/>
    <w:rsid w:val="00005E57"/>
    <w:rsid w:val="00007239"/>
    <w:rsid w:val="00011784"/>
    <w:rsid w:val="00013213"/>
    <w:rsid w:val="000143DC"/>
    <w:rsid w:val="000151EF"/>
    <w:rsid w:val="000239F5"/>
    <w:rsid w:val="000242F0"/>
    <w:rsid w:val="00024452"/>
    <w:rsid w:val="000248F5"/>
    <w:rsid w:val="00040656"/>
    <w:rsid w:val="00053AFD"/>
    <w:rsid w:val="00056B17"/>
    <w:rsid w:val="000573D3"/>
    <w:rsid w:val="00062AAE"/>
    <w:rsid w:val="000771A2"/>
    <w:rsid w:val="00077C5B"/>
    <w:rsid w:val="000808D8"/>
    <w:rsid w:val="000822E2"/>
    <w:rsid w:val="00084799"/>
    <w:rsid w:val="0008612A"/>
    <w:rsid w:val="00087FF8"/>
    <w:rsid w:val="00090E18"/>
    <w:rsid w:val="00095F51"/>
    <w:rsid w:val="000A10BC"/>
    <w:rsid w:val="000A7000"/>
    <w:rsid w:val="000B0056"/>
    <w:rsid w:val="000B2F8E"/>
    <w:rsid w:val="000B4FF4"/>
    <w:rsid w:val="000B629B"/>
    <w:rsid w:val="000B6FE2"/>
    <w:rsid w:val="000C1876"/>
    <w:rsid w:val="000C3C7B"/>
    <w:rsid w:val="000C532B"/>
    <w:rsid w:val="000D0F93"/>
    <w:rsid w:val="000D5AE1"/>
    <w:rsid w:val="000E34E5"/>
    <w:rsid w:val="000F51E7"/>
    <w:rsid w:val="00100E2D"/>
    <w:rsid w:val="00103811"/>
    <w:rsid w:val="00104EB1"/>
    <w:rsid w:val="00106416"/>
    <w:rsid w:val="00110481"/>
    <w:rsid w:val="001127C9"/>
    <w:rsid w:val="00114498"/>
    <w:rsid w:val="00115B88"/>
    <w:rsid w:val="00131BCF"/>
    <w:rsid w:val="00132F6A"/>
    <w:rsid w:val="00133913"/>
    <w:rsid w:val="00135264"/>
    <w:rsid w:val="00140221"/>
    <w:rsid w:val="00144653"/>
    <w:rsid w:val="00147B14"/>
    <w:rsid w:val="00150AB9"/>
    <w:rsid w:val="00151F00"/>
    <w:rsid w:val="001642FC"/>
    <w:rsid w:val="0016496B"/>
    <w:rsid w:val="001743E2"/>
    <w:rsid w:val="001745F8"/>
    <w:rsid w:val="0018342E"/>
    <w:rsid w:val="001838CF"/>
    <w:rsid w:val="00184756"/>
    <w:rsid w:val="001868EE"/>
    <w:rsid w:val="001949E7"/>
    <w:rsid w:val="00196BE3"/>
    <w:rsid w:val="001A3BA4"/>
    <w:rsid w:val="001A488C"/>
    <w:rsid w:val="001A6D1F"/>
    <w:rsid w:val="001B2974"/>
    <w:rsid w:val="001B54E9"/>
    <w:rsid w:val="001E30F6"/>
    <w:rsid w:val="001E52BF"/>
    <w:rsid w:val="001E67CB"/>
    <w:rsid w:val="001E6A67"/>
    <w:rsid w:val="001F093D"/>
    <w:rsid w:val="001F4C2B"/>
    <w:rsid w:val="001F540D"/>
    <w:rsid w:val="001F573F"/>
    <w:rsid w:val="00205AB8"/>
    <w:rsid w:val="0021358A"/>
    <w:rsid w:val="00213D3C"/>
    <w:rsid w:val="002147A8"/>
    <w:rsid w:val="00216FE5"/>
    <w:rsid w:val="00217EE5"/>
    <w:rsid w:val="002226DD"/>
    <w:rsid w:val="00224585"/>
    <w:rsid w:val="0023526B"/>
    <w:rsid w:val="00235F5C"/>
    <w:rsid w:val="00236505"/>
    <w:rsid w:val="00236DAC"/>
    <w:rsid w:val="00236EFA"/>
    <w:rsid w:val="00237FD6"/>
    <w:rsid w:val="00257FA3"/>
    <w:rsid w:val="0026014A"/>
    <w:rsid w:val="00260A8A"/>
    <w:rsid w:val="002657A8"/>
    <w:rsid w:val="00265C6D"/>
    <w:rsid w:val="00270FB7"/>
    <w:rsid w:val="0027155E"/>
    <w:rsid w:val="00271D75"/>
    <w:rsid w:val="00276E93"/>
    <w:rsid w:val="00277B56"/>
    <w:rsid w:val="00282D04"/>
    <w:rsid w:val="002875E1"/>
    <w:rsid w:val="002901E6"/>
    <w:rsid w:val="002943D4"/>
    <w:rsid w:val="00295C17"/>
    <w:rsid w:val="002A080A"/>
    <w:rsid w:val="002A19F5"/>
    <w:rsid w:val="002A3507"/>
    <w:rsid w:val="002B2D61"/>
    <w:rsid w:val="002B37C3"/>
    <w:rsid w:val="002B4922"/>
    <w:rsid w:val="002C22C3"/>
    <w:rsid w:val="002C24D4"/>
    <w:rsid w:val="002C2D19"/>
    <w:rsid w:val="002C5BC4"/>
    <w:rsid w:val="002C7487"/>
    <w:rsid w:val="002C7ED4"/>
    <w:rsid w:val="002D10FA"/>
    <w:rsid w:val="002D1A6F"/>
    <w:rsid w:val="002D4C55"/>
    <w:rsid w:val="002D7487"/>
    <w:rsid w:val="002E1B58"/>
    <w:rsid w:val="002E27D8"/>
    <w:rsid w:val="002E6DED"/>
    <w:rsid w:val="002F73FF"/>
    <w:rsid w:val="00300956"/>
    <w:rsid w:val="00300A23"/>
    <w:rsid w:val="00301766"/>
    <w:rsid w:val="0030550E"/>
    <w:rsid w:val="003075FE"/>
    <w:rsid w:val="003116E3"/>
    <w:rsid w:val="00311E81"/>
    <w:rsid w:val="00312AE5"/>
    <w:rsid w:val="00312E3E"/>
    <w:rsid w:val="00317187"/>
    <w:rsid w:val="00323385"/>
    <w:rsid w:val="0032499A"/>
    <w:rsid w:val="003249DA"/>
    <w:rsid w:val="003341F7"/>
    <w:rsid w:val="00343666"/>
    <w:rsid w:val="00347FEC"/>
    <w:rsid w:val="00356F45"/>
    <w:rsid w:val="00363450"/>
    <w:rsid w:val="003634FA"/>
    <w:rsid w:val="00366B74"/>
    <w:rsid w:val="00367FAC"/>
    <w:rsid w:val="00370495"/>
    <w:rsid w:val="00382DE9"/>
    <w:rsid w:val="00383BA0"/>
    <w:rsid w:val="00386DF6"/>
    <w:rsid w:val="00391695"/>
    <w:rsid w:val="00393341"/>
    <w:rsid w:val="00394EF4"/>
    <w:rsid w:val="00394F81"/>
    <w:rsid w:val="00397D35"/>
    <w:rsid w:val="003A3ABE"/>
    <w:rsid w:val="003A710A"/>
    <w:rsid w:val="003B0B51"/>
    <w:rsid w:val="003B659E"/>
    <w:rsid w:val="003C227A"/>
    <w:rsid w:val="003C275E"/>
    <w:rsid w:val="003C4FDE"/>
    <w:rsid w:val="003C5F33"/>
    <w:rsid w:val="003C667F"/>
    <w:rsid w:val="003C77FD"/>
    <w:rsid w:val="003D0630"/>
    <w:rsid w:val="003D6421"/>
    <w:rsid w:val="003E1C8C"/>
    <w:rsid w:val="003E58DF"/>
    <w:rsid w:val="003E6FE1"/>
    <w:rsid w:val="003F2D5D"/>
    <w:rsid w:val="003F7BEC"/>
    <w:rsid w:val="0040073E"/>
    <w:rsid w:val="00400FE5"/>
    <w:rsid w:val="00404C4C"/>
    <w:rsid w:val="00406F77"/>
    <w:rsid w:val="0041423F"/>
    <w:rsid w:val="00414F81"/>
    <w:rsid w:val="0041706C"/>
    <w:rsid w:val="00424278"/>
    <w:rsid w:val="0042454C"/>
    <w:rsid w:val="00427664"/>
    <w:rsid w:val="004301FA"/>
    <w:rsid w:val="004333EF"/>
    <w:rsid w:val="00433CBA"/>
    <w:rsid w:val="00436A0F"/>
    <w:rsid w:val="00437150"/>
    <w:rsid w:val="0043750A"/>
    <w:rsid w:val="004421FF"/>
    <w:rsid w:val="0044621B"/>
    <w:rsid w:val="00450C21"/>
    <w:rsid w:val="00455CFE"/>
    <w:rsid w:val="00457F31"/>
    <w:rsid w:val="00461005"/>
    <w:rsid w:val="004643C7"/>
    <w:rsid w:val="004653F0"/>
    <w:rsid w:val="00470BE3"/>
    <w:rsid w:val="00472567"/>
    <w:rsid w:val="004732E9"/>
    <w:rsid w:val="004757BA"/>
    <w:rsid w:val="00481505"/>
    <w:rsid w:val="00484B6E"/>
    <w:rsid w:val="004850D9"/>
    <w:rsid w:val="004854BB"/>
    <w:rsid w:val="00494493"/>
    <w:rsid w:val="00496606"/>
    <w:rsid w:val="004A1863"/>
    <w:rsid w:val="004A5607"/>
    <w:rsid w:val="004A7ACD"/>
    <w:rsid w:val="004C1A1A"/>
    <w:rsid w:val="004C47BD"/>
    <w:rsid w:val="004C6EF6"/>
    <w:rsid w:val="004D0282"/>
    <w:rsid w:val="004D0B95"/>
    <w:rsid w:val="004D4E90"/>
    <w:rsid w:val="004D5B5B"/>
    <w:rsid w:val="004D6870"/>
    <w:rsid w:val="004E18CF"/>
    <w:rsid w:val="004E1E49"/>
    <w:rsid w:val="004E5E66"/>
    <w:rsid w:val="004E7ADB"/>
    <w:rsid w:val="004F3A0B"/>
    <w:rsid w:val="005020C1"/>
    <w:rsid w:val="00503B4D"/>
    <w:rsid w:val="00504EE9"/>
    <w:rsid w:val="005052DE"/>
    <w:rsid w:val="00506AE0"/>
    <w:rsid w:val="00512839"/>
    <w:rsid w:val="00520A19"/>
    <w:rsid w:val="00521576"/>
    <w:rsid w:val="005250E6"/>
    <w:rsid w:val="00533F6D"/>
    <w:rsid w:val="00542D23"/>
    <w:rsid w:val="0054442C"/>
    <w:rsid w:val="00545190"/>
    <w:rsid w:val="00550285"/>
    <w:rsid w:val="00551AAE"/>
    <w:rsid w:val="00552FE6"/>
    <w:rsid w:val="00562492"/>
    <w:rsid w:val="0056276E"/>
    <w:rsid w:val="00564074"/>
    <w:rsid w:val="00565FE5"/>
    <w:rsid w:val="00570ADC"/>
    <w:rsid w:val="00572A20"/>
    <w:rsid w:val="00576540"/>
    <w:rsid w:val="00580297"/>
    <w:rsid w:val="00581538"/>
    <w:rsid w:val="005836F8"/>
    <w:rsid w:val="005918FA"/>
    <w:rsid w:val="00592A86"/>
    <w:rsid w:val="00592C3D"/>
    <w:rsid w:val="005A2A81"/>
    <w:rsid w:val="005A45D9"/>
    <w:rsid w:val="005A5004"/>
    <w:rsid w:val="005B4801"/>
    <w:rsid w:val="005C17FA"/>
    <w:rsid w:val="005C23A4"/>
    <w:rsid w:val="005D1CDF"/>
    <w:rsid w:val="005D2BB7"/>
    <w:rsid w:val="005E327D"/>
    <w:rsid w:val="005E61A8"/>
    <w:rsid w:val="005F0618"/>
    <w:rsid w:val="005F0868"/>
    <w:rsid w:val="005F24BD"/>
    <w:rsid w:val="005F4F53"/>
    <w:rsid w:val="005F6419"/>
    <w:rsid w:val="00603742"/>
    <w:rsid w:val="0060543D"/>
    <w:rsid w:val="006104DD"/>
    <w:rsid w:val="00611FB2"/>
    <w:rsid w:val="006130B5"/>
    <w:rsid w:val="00616A3E"/>
    <w:rsid w:val="00617400"/>
    <w:rsid w:val="00623F48"/>
    <w:rsid w:val="00632D29"/>
    <w:rsid w:val="006354F9"/>
    <w:rsid w:val="0063603E"/>
    <w:rsid w:val="006417D8"/>
    <w:rsid w:val="00644BFC"/>
    <w:rsid w:val="00650093"/>
    <w:rsid w:val="00653EAE"/>
    <w:rsid w:val="00656F8D"/>
    <w:rsid w:val="00662B27"/>
    <w:rsid w:val="00664950"/>
    <w:rsid w:val="00670B54"/>
    <w:rsid w:val="006741A7"/>
    <w:rsid w:val="006773F6"/>
    <w:rsid w:val="00683220"/>
    <w:rsid w:val="0068629C"/>
    <w:rsid w:val="0068776D"/>
    <w:rsid w:val="00687FA0"/>
    <w:rsid w:val="006965A1"/>
    <w:rsid w:val="00696EDD"/>
    <w:rsid w:val="006974DA"/>
    <w:rsid w:val="006A34E8"/>
    <w:rsid w:val="006A3C11"/>
    <w:rsid w:val="006A5BF6"/>
    <w:rsid w:val="006A68F8"/>
    <w:rsid w:val="006A6F38"/>
    <w:rsid w:val="006B0AFF"/>
    <w:rsid w:val="006B1C52"/>
    <w:rsid w:val="006B38F1"/>
    <w:rsid w:val="006B4A45"/>
    <w:rsid w:val="006B7010"/>
    <w:rsid w:val="006C3095"/>
    <w:rsid w:val="006D4159"/>
    <w:rsid w:val="006E1151"/>
    <w:rsid w:val="006E409F"/>
    <w:rsid w:val="006E6311"/>
    <w:rsid w:val="006F026D"/>
    <w:rsid w:val="006F0D44"/>
    <w:rsid w:val="006F222B"/>
    <w:rsid w:val="006F5E2F"/>
    <w:rsid w:val="00700E6A"/>
    <w:rsid w:val="00707313"/>
    <w:rsid w:val="007145FF"/>
    <w:rsid w:val="00715B2A"/>
    <w:rsid w:val="00722526"/>
    <w:rsid w:val="00724296"/>
    <w:rsid w:val="007242D4"/>
    <w:rsid w:val="00726FCD"/>
    <w:rsid w:val="0073637C"/>
    <w:rsid w:val="00736CD9"/>
    <w:rsid w:val="00740507"/>
    <w:rsid w:val="007450F1"/>
    <w:rsid w:val="00746AAC"/>
    <w:rsid w:val="0075008A"/>
    <w:rsid w:val="00751515"/>
    <w:rsid w:val="007549F8"/>
    <w:rsid w:val="00760E3A"/>
    <w:rsid w:val="007626B7"/>
    <w:rsid w:val="0077211B"/>
    <w:rsid w:val="00773851"/>
    <w:rsid w:val="00777909"/>
    <w:rsid w:val="007808AB"/>
    <w:rsid w:val="0078212B"/>
    <w:rsid w:val="00782A63"/>
    <w:rsid w:val="00784DF6"/>
    <w:rsid w:val="00785232"/>
    <w:rsid w:val="00787B98"/>
    <w:rsid w:val="00787BD1"/>
    <w:rsid w:val="00790986"/>
    <w:rsid w:val="007913D6"/>
    <w:rsid w:val="00794C9B"/>
    <w:rsid w:val="007A0B32"/>
    <w:rsid w:val="007A3356"/>
    <w:rsid w:val="007B186C"/>
    <w:rsid w:val="007C1696"/>
    <w:rsid w:val="007C1F1D"/>
    <w:rsid w:val="007C3ED0"/>
    <w:rsid w:val="007C5971"/>
    <w:rsid w:val="007D3620"/>
    <w:rsid w:val="007D7AD5"/>
    <w:rsid w:val="007E6B53"/>
    <w:rsid w:val="007F54B9"/>
    <w:rsid w:val="00805BC7"/>
    <w:rsid w:val="00806A76"/>
    <w:rsid w:val="00811B84"/>
    <w:rsid w:val="00811C9D"/>
    <w:rsid w:val="00816C80"/>
    <w:rsid w:val="008256CB"/>
    <w:rsid w:val="00830171"/>
    <w:rsid w:val="00830963"/>
    <w:rsid w:val="00841BCD"/>
    <w:rsid w:val="0084690C"/>
    <w:rsid w:val="00846C62"/>
    <w:rsid w:val="00847264"/>
    <w:rsid w:val="00847F99"/>
    <w:rsid w:val="0085030D"/>
    <w:rsid w:val="00851A8E"/>
    <w:rsid w:val="0085365B"/>
    <w:rsid w:val="008543D2"/>
    <w:rsid w:val="008554BA"/>
    <w:rsid w:val="00855736"/>
    <w:rsid w:val="00864515"/>
    <w:rsid w:val="0086633A"/>
    <w:rsid w:val="00873EE5"/>
    <w:rsid w:val="008808F9"/>
    <w:rsid w:val="008826C1"/>
    <w:rsid w:val="00883DFD"/>
    <w:rsid w:val="00884389"/>
    <w:rsid w:val="0089027F"/>
    <w:rsid w:val="008902EB"/>
    <w:rsid w:val="008A1BF7"/>
    <w:rsid w:val="008A5B0E"/>
    <w:rsid w:val="008B0961"/>
    <w:rsid w:val="008C01BB"/>
    <w:rsid w:val="008C07EA"/>
    <w:rsid w:val="008C230F"/>
    <w:rsid w:val="008C27FC"/>
    <w:rsid w:val="008C39F7"/>
    <w:rsid w:val="008C72A3"/>
    <w:rsid w:val="008C7672"/>
    <w:rsid w:val="008D07A5"/>
    <w:rsid w:val="008D36BC"/>
    <w:rsid w:val="008D47D3"/>
    <w:rsid w:val="008E15B4"/>
    <w:rsid w:val="008E6C7A"/>
    <w:rsid w:val="008F7495"/>
    <w:rsid w:val="008F7A85"/>
    <w:rsid w:val="0090091A"/>
    <w:rsid w:val="00901A21"/>
    <w:rsid w:val="009042BD"/>
    <w:rsid w:val="00904FE4"/>
    <w:rsid w:val="00914681"/>
    <w:rsid w:val="00923257"/>
    <w:rsid w:val="00936159"/>
    <w:rsid w:val="00937A65"/>
    <w:rsid w:val="00944463"/>
    <w:rsid w:val="0094617C"/>
    <w:rsid w:val="00947294"/>
    <w:rsid w:val="0095238F"/>
    <w:rsid w:val="00953F81"/>
    <w:rsid w:val="00957C32"/>
    <w:rsid w:val="00966FBA"/>
    <w:rsid w:val="0096737E"/>
    <w:rsid w:val="00967834"/>
    <w:rsid w:val="00973445"/>
    <w:rsid w:val="0097477F"/>
    <w:rsid w:val="0097559C"/>
    <w:rsid w:val="00977528"/>
    <w:rsid w:val="0097784C"/>
    <w:rsid w:val="00977E1D"/>
    <w:rsid w:val="00985F77"/>
    <w:rsid w:val="009956ED"/>
    <w:rsid w:val="009958F8"/>
    <w:rsid w:val="00996FA7"/>
    <w:rsid w:val="009A0DBB"/>
    <w:rsid w:val="009A5B10"/>
    <w:rsid w:val="009B0573"/>
    <w:rsid w:val="009B17A2"/>
    <w:rsid w:val="009B3B2E"/>
    <w:rsid w:val="009B7B4B"/>
    <w:rsid w:val="009B7C21"/>
    <w:rsid w:val="009C2791"/>
    <w:rsid w:val="009D15F9"/>
    <w:rsid w:val="009D2D7E"/>
    <w:rsid w:val="009D4719"/>
    <w:rsid w:val="009E7F89"/>
    <w:rsid w:val="009F3756"/>
    <w:rsid w:val="009F5D6B"/>
    <w:rsid w:val="00A0148A"/>
    <w:rsid w:val="00A020CE"/>
    <w:rsid w:val="00A04992"/>
    <w:rsid w:val="00A06BC3"/>
    <w:rsid w:val="00A1418D"/>
    <w:rsid w:val="00A147AA"/>
    <w:rsid w:val="00A157E2"/>
    <w:rsid w:val="00A16EDB"/>
    <w:rsid w:val="00A20713"/>
    <w:rsid w:val="00A21D71"/>
    <w:rsid w:val="00A22B78"/>
    <w:rsid w:val="00A23580"/>
    <w:rsid w:val="00A25AE5"/>
    <w:rsid w:val="00A30C8C"/>
    <w:rsid w:val="00A31437"/>
    <w:rsid w:val="00A3541C"/>
    <w:rsid w:val="00A37002"/>
    <w:rsid w:val="00A40467"/>
    <w:rsid w:val="00A4355E"/>
    <w:rsid w:val="00A520D9"/>
    <w:rsid w:val="00A52955"/>
    <w:rsid w:val="00A56E48"/>
    <w:rsid w:val="00A573DA"/>
    <w:rsid w:val="00A61FD7"/>
    <w:rsid w:val="00A66B39"/>
    <w:rsid w:val="00A77B49"/>
    <w:rsid w:val="00A77F95"/>
    <w:rsid w:val="00A82BF7"/>
    <w:rsid w:val="00A82FAE"/>
    <w:rsid w:val="00A92BCD"/>
    <w:rsid w:val="00A94FF1"/>
    <w:rsid w:val="00A955B7"/>
    <w:rsid w:val="00A96353"/>
    <w:rsid w:val="00AA0EAF"/>
    <w:rsid w:val="00AA1B0E"/>
    <w:rsid w:val="00AA47B6"/>
    <w:rsid w:val="00AA5BC0"/>
    <w:rsid w:val="00AC0CE7"/>
    <w:rsid w:val="00AC163B"/>
    <w:rsid w:val="00AC5CA7"/>
    <w:rsid w:val="00AC6058"/>
    <w:rsid w:val="00AE2A99"/>
    <w:rsid w:val="00AE2BA5"/>
    <w:rsid w:val="00AE56B1"/>
    <w:rsid w:val="00AE6D09"/>
    <w:rsid w:val="00AF1CAB"/>
    <w:rsid w:val="00AF3AF8"/>
    <w:rsid w:val="00AF4121"/>
    <w:rsid w:val="00AF7A7C"/>
    <w:rsid w:val="00B02070"/>
    <w:rsid w:val="00B0233C"/>
    <w:rsid w:val="00B02878"/>
    <w:rsid w:val="00B12E36"/>
    <w:rsid w:val="00B16203"/>
    <w:rsid w:val="00B17558"/>
    <w:rsid w:val="00B17746"/>
    <w:rsid w:val="00B17C53"/>
    <w:rsid w:val="00B247C9"/>
    <w:rsid w:val="00B30A95"/>
    <w:rsid w:val="00B36B18"/>
    <w:rsid w:val="00B404AD"/>
    <w:rsid w:val="00B408B6"/>
    <w:rsid w:val="00B4165C"/>
    <w:rsid w:val="00B43142"/>
    <w:rsid w:val="00B51876"/>
    <w:rsid w:val="00B542DA"/>
    <w:rsid w:val="00B601CE"/>
    <w:rsid w:val="00B649BF"/>
    <w:rsid w:val="00B662F1"/>
    <w:rsid w:val="00B663E7"/>
    <w:rsid w:val="00B67163"/>
    <w:rsid w:val="00B6772F"/>
    <w:rsid w:val="00B67874"/>
    <w:rsid w:val="00B70170"/>
    <w:rsid w:val="00B73862"/>
    <w:rsid w:val="00B73F43"/>
    <w:rsid w:val="00B74621"/>
    <w:rsid w:val="00B75BBF"/>
    <w:rsid w:val="00B812F2"/>
    <w:rsid w:val="00B82E58"/>
    <w:rsid w:val="00B90E87"/>
    <w:rsid w:val="00B93866"/>
    <w:rsid w:val="00B96A82"/>
    <w:rsid w:val="00BA4724"/>
    <w:rsid w:val="00BA6B66"/>
    <w:rsid w:val="00BA6E48"/>
    <w:rsid w:val="00BB4B06"/>
    <w:rsid w:val="00BB555C"/>
    <w:rsid w:val="00BC1AD6"/>
    <w:rsid w:val="00BC5E45"/>
    <w:rsid w:val="00BD145A"/>
    <w:rsid w:val="00BD33D9"/>
    <w:rsid w:val="00BE0AF6"/>
    <w:rsid w:val="00BE1F03"/>
    <w:rsid w:val="00BE3120"/>
    <w:rsid w:val="00BE58A7"/>
    <w:rsid w:val="00BF08F1"/>
    <w:rsid w:val="00BF2218"/>
    <w:rsid w:val="00BF4D82"/>
    <w:rsid w:val="00BF65EE"/>
    <w:rsid w:val="00BF79DA"/>
    <w:rsid w:val="00C0280B"/>
    <w:rsid w:val="00C0426B"/>
    <w:rsid w:val="00C045DF"/>
    <w:rsid w:val="00C05FCB"/>
    <w:rsid w:val="00C06CA2"/>
    <w:rsid w:val="00C12376"/>
    <w:rsid w:val="00C15482"/>
    <w:rsid w:val="00C201B6"/>
    <w:rsid w:val="00C207C1"/>
    <w:rsid w:val="00C233E8"/>
    <w:rsid w:val="00C26D43"/>
    <w:rsid w:val="00C2781D"/>
    <w:rsid w:val="00C34D95"/>
    <w:rsid w:val="00C46548"/>
    <w:rsid w:val="00C47C9E"/>
    <w:rsid w:val="00C52710"/>
    <w:rsid w:val="00C54B57"/>
    <w:rsid w:val="00C5740C"/>
    <w:rsid w:val="00C574D5"/>
    <w:rsid w:val="00C62C9D"/>
    <w:rsid w:val="00C6352E"/>
    <w:rsid w:val="00C73F32"/>
    <w:rsid w:val="00C80C2A"/>
    <w:rsid w:val="00C87462"/>
    <w:rsid w:val="00C934AA"/>
    <w:rsid w:val="00C94051"/>
    <w:rsid w:val="00C96C75"/>
    <w:rsid w:val="00C96CC2"/>
    <w:rsid w:val="00C97743"/>
    <w:rsid w:val="00CA0BFB"/>
    <w:rsid w:val="00CA180C"/>
    <w:rsid w:val="00CA5E74"/>
    <w:rsid w:val="00CB22B2"/>
    <w:rsid w:val="00CC0D0D"/>
    <w:rsid w:val="00CC3EE2"/>
    <w:rsid w:val="00CD0E5A"/>
    <w:rsid w:val="00CD256D"/>
    <w:rsid w:val="00CD7492"/>
    <w:rsid w:val="00CE3A6B"/>
    <w:rsid w:val="00CE6EE0"/>
    <w:rsid w:val="00CF18A9"/>
    <w:rsid w:val="00CF59EA"/>
    <w:rsid w:val="00D00211"/>
    <w:rsid w:val="00D01A55"/>
    <w:rsid w:val="00D031DE"/>
    <w:rsid w:val="00D04DA7"/>
    <w:rsid w:val="00D0527D"/>
    <w:rsid w:val="00D06309"/>
    <w:rsid w:val="00D154C0"/>
    <w:rsid w:val="00D24A1F"/>
    <w:rsid w:val="00D250F6"/>
    <w:rsid w:val="00D257A6"/>
    <w:rsid w:val="00D268AF"/>
    <w:rsid w:val="00D351EA"/>
    <w:rsid w:val="00D40288"/>
    <w:rsid w:val="00D405AC"/>
    <w:rsid w:val="00D42A9E"/>
    <w:rsid w:val="00D43403"/>
    <w:rsid w:val="00D5150B"/>
    <w:rsid w:val="00D5270B"/>
    <w:rsid w:val="00D61C37"/>
    <w:rsid w:val="00D62360"/>
    <w:rsid w:val="00D62E71"/>
    <w:rsid w:val="00D6430D"/>
    <w:rsid w:val="00D6532A"/>
    <w:rsid w:val="00D66188"/>
    <w:rsid w:val="00D731F6"/>
    <w:rsid w:val="00D740CA"/>
    <w:rsid w:val="00D813AF"/>
    <w:rsid w:val="00D85728"/>
    <w:rsid w:val="00D87287"/>
    <w:rsid w:val="00D87962"/>
    <w:rsid w:val="00D95481"/>
    <w:rsid w:val="00DA03A6"/>
    <w:rsid w:val="00DA0441"/>
    <w:rsid w:val="00DB2D81"/>
    <w:rsid w:val="00DC3942"/>
    <w:rsid w:val="00DC7A13"/>
    <w:rsid w:val="00DD6C39"/>
    <w:rsid w:val="00DE09B1"/>
    <w:rsid w:val="00DE0E51"/>
    <w:rsid w:val="00DE12B1"/>
    <w:rsid w:val="00DE3B8A"/>
    <w:rsid w:val="00DF2997"/>
    <w:rsid w:val="00DF794E"/>
    <w:rsid w:val="00E011F3"/>
    <w:rsid w:val="00E018C8"/>
    <w:rsid w:val="00E10BC4"/>
    <w:rsid w:val="00E13A55"/>
    <w:rsid w:val="00E1415D"/>
    <w:rsid w:val="00E201E6"/>
    <w:rsid w:val="00E210EE"/>
    <w:rsid w:val="00E255BE"/>
    <w:rsid w:val="00E273FD"/>
    <w:rsid w:val="00E30010"/>
    <w:rsid w:val="00E31233"/>
    <w:rsid w:val="00E323E9"/>
    <w:rsid w:val="00E34018"/>
    <w:rsid w:val="00E35EE8"/>
    <w:rsid w:val="00E40172"/>
    <w:rsid w:val="00E437D2"/>
    <w:rsid w:val="00E46E7F"/>
    <w:rsid w:val="00E55751"/>
    <w:rsid w:val="00E627F4"/>
    <w:rsid w:val="00E64949"/>
    <w:rsid w:val="00E64E42"/>
    <w:rsid w:val="00E708A3"/>
    <w:rsid w:val="00E758F9"/>
    <w:rsid w:val="00E76D84"/>
    <w:rsid w:val="00E77D00"/>
    <w:rsid w:val="00E8025D"/>
    <w:rsid w:val="00E847E4"/>
    <w:rsid w:val="00E8568A"/>
    <w:rsid w:val="00E90A4A"/>
    <w:rsid w:val="00E9640D"/>
    <w:rsid w:val="00E972A9"/>
    <w:rsid w:val="00EA12B0"/>
    <w:rsid w:val="00EA2311"/>
    <w:rsid w:val="00EA79EC"/>
    <w:rsid w:val="00EC5CAB"/>
    <w:rsid w:val="00EC7BC3"/>
    <w:rsid w:val="00EC7EB5"/>
    <w:rsid w:val="00ED0CCD"/>
    <w:rsid w:val="00ED5245"/>
    <w:rsid w:val="00ED7600"/>
    <w:rsid w:val="00ED7616"/>
    <w:rsid w:val="00EE4B0F"/>
    <w:rsid w:val="00EE5630"/>
    <w:rsid w:val="00EE5BB6"/>
    <w:rsid w:val="00EE66C3"/>
    <w:rsid w:val="00EF1110"/>
    <w:rsid w:val="00EF1767"/>
    <w:rsid w:val="00EF45B7"/>
    <w:rsid w:val="00EF569C"/>
    <w:rsid w:val="00EF6073"/>
    <w:rsid w:val="00EF698B"/>
    <w:rsid w:val="00F04DE8"/>
    <w:rsid w:val="00F11C14"/>
    <w:rsid w:val="00F1362C"/>
    <w:rsid w:val="00F15CA0"/>
    <w:rsid w:val="00F17FE7"/>
    <w:rsid w:val="00F20202"/>
    <w:rsid w:val="00F27EB1"/>
    <w:rsid w:val="00F27FBD"/>
    <w:rsid w:val="00F414F1"/>
    <w:rsid w:val="00F44217"/>
    <w:rsid w:val="00F44504"/>
    <w:rsid w:val="00F44712"/>
    <w:rsid w:val="00F508B8"/>
    <w:rsid w:val="00F532D0"/>
    <w:rsid w:val="00F618EE"/>
    <w:rsid w:val="00F62D40"/>
    <w:rsid w:val="00F72A5D"/>
    <w:rsid w:val="00F72CB1"/>
    <w:rsid w:val="00F737F6"/>
    <w:rsid w:val="00F8039F"/>
    <w:rsid w:val="00F8215E"/>
    <w:rsid w:val="00F824F5"/>
    <w:rsid w:val="00F8297D"/>
    <w:rsid w:val="00F83F42"/>
    <w:rsid w:val="00F90FAB"/>
    <w:rsid w:val="00F936B6"/>
    <w:rsid w:val="00F9374D"/>
    <w:rsid w:val="00F9517E"/>
    <w:rsid w:val="00F96347"/>
    <w:rsid w:val="00FA3CFD"/>
    <w:rsid w:val="00FA75D6"/>
    <w:rsid w:val="00FB2D10"/>
    <w:rsid w:val="00FB5269"/>
    <w:rsid w:val="00FB582E"/>
    <w:rsid w:val="00FC29B9"/>
    <w:rsid w:val="00FC437D"/>
    <w:rsid w:val="00FC6FD3"/>
    <w:rsid w:val="00FD1147"/>
    <w:rsid w:val="00FD37E2"/>
    <w:rsid w:val="00FD74F7"/>
    <w:rsid w:val="00FE0D7C"/>
    <w:rsid w:val="00FE1B6B"/>
    <w:rsid w:val="00FE2445"/>
    <w:rsid w:val="00FE305C"/>
    <w:rsid w:val="00FE69A0"/>
    <w:rsid w:val="00FF0301"/>
    <w:rsid w:val="00FF03E4"/>
    <w:rsid w:val="00FF10EA"/>
    <w:rsid w:val="00FF4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3D9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8F9"/>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545190"/>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A157E2"/>
    <w:rPr>
      <w:color w:val="2B579A"/>
      <w:shd w:val="clear" w:color="auto" w:fill="E1DFDD"/>
    </w:rPr>
  </w:style>
  <w:style w:type="paragraph" w:styleId="Header">
    <w:name w:val="header"/>
    <w:basedOn w:val="Normal"/>
    <w:link w:val="HeaderChar"/>
    <w:uiPriority w:val="99"/>
    <w:unhideWhenUsed/>
    <w:rsid w:val="00947294"/>
    <w:pPr>
      <w:tabs>
        <w:tab w:val="center" w:pos="4986"/>
        <w:tab w:val="right" w:pos="9972"/>
      </w:tabs>
      <w:spacing w:after="0" w:line="240" w:lineRule="auto"/>
    </w:pPr>
  </w:style>
  <w:style w:type="character" w:customStyle="1" w:styleId="HeaderChar">
    <w:name w:val="Header Char"/>
    <w:basedOn w:val="DefaultParagraphFont"/>
    <w:link w:val="Header"/>
    <w:uiPriority w:val="99"/>
    <w:rsid w:val="00A66B39"/>
    <w:rPr>
      <w:rFonts w:ascii="Times New Roman" w:hAnsi="Times New Roman"/>
      <w:sz w:val="20"/>
    </w:rPr>
  </w:style>
  <w:style w:type="paragraph" w:styleId="Footer">
    <w:name w:val="footer"/>
    <w:basedOn w:val="Normal"/>
    <w:link w:val="FooterChar"/>
    <w:uiPriority w:val="99"/>
    <w:unhideWhenUsed/>
    <w:rsid w:val="00947294"/>
    <w:pPr>
      <w:tabs>
        <w:tab w:val="center" w:pos="4986"/>
        <w:tab w:val="right" w:pos="9972"/>
      </w:tabs>
      <w:spacing w:after="0" w:line="240" w:lineRule="auto"/>
    </w:pPr>
  </w:style>
  <w:style w:type="character" w:customStyle="1" w:styleId="FooterChar">
    <w:name w:val="Footer Char"/>
    <w:basedOn w:val="DefaultParagraphFont"/>
    <w:link w:val="Footer"/>
    <w:uiPriority w:val="99"/>
    <w:rsid w:val="00A66B39"/>
    <w:rPr>
      <w:rFonts w:ascii="Times New Roman" w:hAnsi="Times New Roman"/>
      <w:sz w:val="20"/>
    </w:rPr>
  </w:style>
  <w:style w:type="paragraph" w:styleId="Revision">
    <w:name w:val="Revision"/>
    <w:hidden/>
    <w:uiPriority w:val="99"/>
    <w:semiHidden/>
    <w:rsid w:val="00A66B39"/>
    <w:pPr>
      <w:spacing w:after="0" w:line="240" w:lineRule="auto"/>
    </w:pPr>
    <w:rPr>
      <w:rFonts w:ascii="Times New Roman" w:hAnsi="Times New Roman"/>
      <w:sz w:val="20"/>
    </w:rPr>
  </w:style>
  <w:style w:type="paragraph" w:customStyle="1" w:styleId="pf0">
    <w:name w:val="pf0"/>
    <w:basedOn w:val="Normal"/>
    <w:rsid w:val="008C72A3"/>
    <w:pPr>
      <w:spacing w:before="100" w:beforeAutospacing="1" w:after="100" w:afterAutospacing="1" w:line="240" w:lineRule="auto"/>
    </w:pPr>
    <w:rPr>
      <w:rFonts w:eastAsia="Times New Roman" w:cs="Times New Roman"/>
      <w:sz w:val="24"/>
      <w:szCs w:val="24"/>
      <w:lang w:val="en-GB" w:eastAsia="en-GB"/>
    </w:rPr>
  </w:style>
  <w:style w:type="character" w:customStyle="1" w:styleId="cf01">
    <w:name w:val="cf01"/>
    <w:basedOn w:val="DefaultParagraphFont"/>
    <w:rsid w:val="008C72A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063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openxmlformats.org/officeDocument/2006/relationships/customXml" Target="../customXml/item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5AIRPNAIUNRU-1328258698-28415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https://nokia.sharepoint.com/sites/c5g/5gradio/_layouts/15/DocIdRedir.aspx?ID=5AIRPNAIUNRU-1328258698-28415</Url>
      <Description>5AIRPNAIUNRU-1328258698-28415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49C98F41-354C-407F-871E-84320BD33EC5}">
  <ds:schemaRefs>
    <ds:schemaRef ds:uri="http://schemas.openxmlformats.org/officeDocument/2006/bibliography"/>
  </ds:schemaRefs>
</ds:datastoreItem>
</file>

<file path=customXml/itemProps2.xml><?xml version="1.0" encoding="utf-8"?>
<ds:datastoreItem xmlns:ds="http://schemas.openxmlformats.org/officeDocument/2006/customXml" ds:itemID="{E9554AE6-7401-4F4C-892E-99AE65893F59}"/>
</file>

<file path=customXml/itemProps3.xml><?xml version="1.0" encoding="utf-8"?>
<ds:datastoreItem xmlns:ds="http://schemas.openxmlformats.org/officeDocument/2006/customXml" ds:itemID="{FBCEFD09-4A31-4EBC-AD37-A6915301FB09}"/>
</file>

<file path=customXml/itemProps4.xml><?xml version="1.0" encoding="utf-8"?>
<ds:datastoreItem xmlns:ds="http://schemas.openxmlformats.org/officeDocument/2006/customXml" ds:itemID="{3E8C0F29-CB4C-41D7-A5A6-B5B8E03DDA7C}"/>
</file>

<file path=customXml/itemProps5.xml><?xml version="1.0" encoding="utf-8"?>
<ds:datastoreItem xmlns:ds="http://schemas.openxmlformats.org/officeDocument/2006/customXml" ds:itemID="{C8EFBD4A-15A4-4086-962C-881D30543AB0}"/>
</file>

<file path=customXml/itemProps6.xml><?xml version="1.0" encoding="utf-8"?>
<ds:datastoreItem xmlns:ds="http://schemas.openxmlformats.org/officeDocument/2006/customXml" ds:itemID="{79320AE1-C686-4156-A0F3-2A9279B96BA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3905</Words>
  <Characters>21088</Characters>
  <Application>Microsoft Office Word</Application>
  <DocSecurity>0</DocSecurity>
  <Lines>260</Lines>
  <Paragraphs>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24689</CharactersWithSpaces>
  <SharedDoc>false</SharedDoc>
  <HLinks>
    <vt:vector size="144" baseType="variant">
      <vt:variant>
        <vt:i4>1900606</vt:i4>
      </vt:variant>
      <vt:variant>
        <vt:i4>92</vt:i4>
      </vt:variant>
      <vt:variant>
        <vt:i4>0</vt:i4>
      </vt:variant>
      <vt:variant>
        <vt:i4>5</vt:i4>
      </vt:variant>
      <vt:variant>
        <vt:lpwstr/>
      </vt:variant>
      <vt:variant>
        <vt:lpwstr>_Toc149648205</vt:lpwstr>
      </vt:variant>
      <vt:variant>
        <vt:i4>1900606</vt:i4>
      </vt:variant>
      <vt:variant>
        <vt:i4>89</vt:i4>
      </vt:variant>
      <vt:variant>
        <vt:i4>0</vt:i4>
      </vt:variant>
      <vt:variant>
        <vt:i4>5</vt:i4>
      </vt:variant>
      <vt:variant>
        <vt:lpwstr/>
      </vt:variant>
      <vt:variant>
        <vt:lpwstr>_Toc149648204</vt:lpwstr>
      </vt:variant>
      <vt:variant>
        <vt:i4>1900606</vt:i4>
      </vt:variant>
      <vt:variant>
        <vt:i4>86</vt:i4>
      </vt:variant>
      <vt:variant>
        <vt:i4>0</vt:i4>
      </vt:variant>
      <vt:variant>
        <vt:i4>5</vt:i4>
      </vt:variant>
      <vt:variant>
        <vt:lpwstr/>
      </vt:variant>
      <vt:variant>
        <vt:lpwstr>_Toc149648203</vt:lpwstr>
      </vt:variant>
      <vt:variant>
        <vt:i4>1900606</vt:i4>
      </vt:variant>
      <vt:variant>
        <vt:i4>83</vt:i4>
      </vt:variant>
      <vt:variant>
        <vt:i4>0</vt:i4>
      </vt:variant>
      <vt:variant>
        <vt:i4>5</vt:i4>
      </vt:variant>
      <vt:variant>
        <vt:lpwstr/>
      </vt:variant>
      <vt:variant>
        <vt:lpwstr>_Toc149648202</vt:lpwstr>
      </vt:variant>
      <vt:variant>
        <vt:i4>1900606</vt:i4>
      </vt:variant>
      <vt:variant>
        <vt:i4>80</vt:i4>
      </vt:variant>
      <vt:variant>
        <vt:i4>0</vt:i4>
      </vt:variant>
      <vt:variant>
        <vt:i4>5</vt:i4>
      </vt:variant>
      <vt:variant>
        <vt:lpwstr/>
      </vt:variant>
      <vt:variant>
        <vt:lpwstr>_Toc149648201</vt:lpwstr>
      </vt:variant>
      <vt:variant>
        <vt:i4>1900606</vt:i4>
      </vt:variant>
      <vt:variant>
        <vt:i4>77</vt:i4>
      </vt:variant>
      <vt:variant>
        <vt:i4>0</vt:i4>
      </vt:variant>
      <vt:variant>
        <vt:i4>5</vt:i4>
      </vt:variant>
      <vt:variant>
        <vt:lpwstr/>
      </vt:variant>
      <vt:variant>
        <vt:lpwstr>_Toc149648200</vt:lpwstr>
      </vt:variant>
      <vt:variant>
        <vt:i4>1310781</vt:i4>
      </vt:variant>
      <vt:variant>
        <vt:i4>74</vt:i4>
      </vt:variant>
      <vt:variant>
        <vt:i4>0</vt:i4>
      </vt:variant>
      <vt:variant>
        <vt:i4>5</vt:i4>
      </vt:variant>
      <vt:variant>
        <vt:lpwstr/>
      </vt:variant>
      <vt:variant>
        <vt:lpwstr>_Toc149648199</vt:lpwstr>
      </vt:variant>
      <vt:variant>
        <vt:i4>1310781</vt:i4>
      </vt:variant>
      <vt:variant>
        <vt:i4>71</vt:i4>
      </vt:variant>
      <vt:variant>
        <vt:i4>0</vt:i4>
      </vt:variant>
      <vt:variant>
        <vt:i4>5</vt:i4>
      </vt:variant>
      <vt:variant>
        <vt:lpwstr/>
      </vt:variant>
      <vt:variant>
        <vt:lpwstr>_Toc149648198</vt:lpwstr>
      </vt:variant>
      <vt:variant>
        <vt:i4>1310781</vt:i4>
      </vt:variant>
      <vt:variant>
        <vt:i4>68</vt:i4>
      </vt:variant>
      <vt:variant>
        <vt:i4>0</vt:i4>
      </vt:variant>
      <vt:variant>
        <vt:i4>5</vt:i4>
      </vt:variant>
      <vt:variant>
        <vt:lpwstr/>
      </vt:variant>
      <vt:variant>
        <vt:lpwstr>_Toc149648197</vt:lpwstr>
      </vt:variant>
      <vt:variant>
        <vt:i4>1310781</vt:i4>
      </vt:variant>
      <vt:variant>
        <vt:i4>65</vt:i4>
      </vt:variant>
      <vt:variant>
        <vt:i4>0</vt:i4>
      </vt:variant>
      <vt:variant>
        <vt:i4>5</vt:i4>
      </vt:variant>
      <vt:variant>
        <vt:lpwstr/>
      </vt:variant>
      <vt:variant>
        <vt:lpwstr>_Toc149648196</vt:lpwstr>
      </vt:variant>
      <vt:variant>
        <vt:i4>1310781</vt:i4>
      </vt:variant>
      <vt:variant>
        <vt:i4>62</vt:i4>
      </vt:variant>
      <vt:variant>
        <vt:i4>0</vt:i4>
      </vt:variant>
      <vt:variant>
        <vt:i4>5</vt:i4>
      </vt:variant>
      <vt:variant>
        <vt:lpwstr/>
      </vt:variant>
      <vt:variant>
        <vt:lpwstr>_Toc149648195</vt:lpwstr>
      </vt:variant>
      <vt:variant>
        <vt:i4>1310781</vt:i4>
      </vt:variant>
      <vt:variant>
        <vt:i4>59</vt:i4>
      </vt:variant>
      <vt:variant>
        <vt:i4>0</vt:i4>
      </vt:variant>
      <vt:variant>
        <vt:i4>5</vt:i4>
      </vt:variant>
      <vt:variant>
        <vt:lpwstr/>
      </vt:variant>
      <vt:variant>
        <vt:lpwstr>_Toc149648194</vt:lpwstr>
      </vt:variant>
      <vt:variant>
        <vt:i4>1310781</vt:i4>
      </vt:variant>
      <vt:variant>
        <vt:i4>56</vt:i4>
      </vt:variant>
      <vt:variant>
        <vt:i4>0</vt:i4>
      </vt:variant>
      <vt:variant>
        <vt:i4>5</vt:i4>
      </vt:variant>
      <vt:variant>
        <vt:lpwstr/>
      </vt:variant>
      <vt:variant>
        <vt:lpwstr>_Toc149648193</vt:lpwstr>
      </vt:variant>
      <vt:variant>
        <vt:i4>1310781</vt:i4>
      </vt:variant>
      <vt:variant>
        <vt:i4>53</vt:i4>
      </vt:variant>
      <vt:variant>
        <vt:i4>0</vt:i4>
      </vt:variant>
      <vt:variant>
        <vt:i4>5</vt:i4>
      </vt:variant>
      <vt:variant>
        <vt:lpwstr/>
      </vt:variant>
      <vt:variant>
        <vt:lpwstr>_Toc149648192</vt:lpwstr>
      </vt:variant>
      <vt:variant>
        <vt:i4>1310781</vt:i4>
      </vt:variant>
      <vt:variant>
        <vt:i4>50</vt:i4>
      </vt:variant>
      <vt:variant>
        <vt:i4>0</vt:i4>
      </vt:variant>
      <vt:variant>
        <vt:i4>5</vt:i4>
      </vt:variant>
      <vt:variant>
        <vt:lpwstr/>
      </vt:variant>
      <vt:variant>
        <vt:lpwstr>_Toc149648191</vt:lpwstr>
      </vt:variant>
      <vt:variant>
        <vt:i4>1310781</vt:i4>
      </vt:variant>
      <vt:variant>
        <vt:i4>47</vt:i4>
      </vt:variant>
      <vt:variant>
        <vt:i4>0</vt:i4>
      </vt:variant>
      <vt:variant>
        <vt:i4>5</vt:i4>
      </vt:variant>
      <vt:variant>
        <vt:lpwstr/>
      </vt:variant>
      <vt:variant>
        <vt:lpwstr>_Toc149648190</vt:lpwstr>
      </vt:variant>
      <vt:variant>
        <vt:i4>1376317</vt:i4>
      </vt:variant>
      <vt:variant>
        <vt:i4>44</vt:i4>
      </vt:variant>
      <vt:variant>
        <vt:i4>0</vt:i4>
      </vt:variant>
      <vt:variant>
        <vt:i4>5</vt:i4>
      </vt:variant>
      <vt:variant>
        <vt:lpwstr/>
      </vt:variant>
      <vt:variant>
        <vt:lpwstr>_Toc149648189</vt:lpwstr>
      </vt:variant>
      <vt:variant>
        <vt:i4>1376317</vt:i4>
      </vt:variant>
      <vt:variant>
        <vt:i4>41</vt:i4>
      </vt:variant>
      <vt:variant>
        <vt:i4>0</vt:i4>
      </vt:variant>
      <vt:variant>
        <vt:i4>5</vt:i4>
      </vt:variant>
      <vt:variant>
        <vt:lpwstr/>
      </vt:variant>
      <vt:variant>
        <vt:lpwstr>_Toc149648188</vt:lpwstr>
      </vt:variant>
      <vt:variant>
        <vt:i4>1376317</vt:i4>
      </vt:variant>
      <vt:variant>
        <vt:i4>38</vt:i4>
      </vt:variant>
      <vt:variant>
        <vt:i4>0</vt:i4>
      </vt:variant>
      <vt:variant>
        <vt:i4>5</vt:i4>
      </vt:variant>
      <vt:variant>
        <vt:lpwstr/>
      </vt:variant>
      <vt:variant>
        <vt:lpwstr>_Toc149648187</vt:lpwstr>
      </vt:variant>
      <vt:variant>
        <vt:i4>1376317</vt:i4>
      </vt:variant>
      <vt:variant>
        <vt:i4>35</vt:i4>
      </vt:variant>
      <vt:variant>
        <vt:i4>0</vt:i4>
      </vt:variant>
      <vt:variant>
        <vt:i4>5</vt:i4>
      </vt:variant>
      <vt:variant>
        <vt:lpwstr/>
      </vt:variant>
      <vt:variant>
        <vt:lpwstr>_Toc149648186</vt:lpwstr>
      </vt:variant>
      <vt:variant>
        <vt:i4>1376317</vt:i4>
      </vt:variant>
      <vt:variant>
        <vt:i4>32</vt:i4>
      </vt:variant>
      <vt:variant>
        <vt:i4>0</vt:i4>
      </vt:variant>
      <vt:variant>
        <vt:i4>5</vt:i4>
      </vt:variant>
      <vt:variant>
        <vt:lpwstr/>
      </vt:variant>
      <vt:variant>
        <vt:lpwstr>_Toc149648185</vt:lpwstr>
      </vt:variant>
      <vt:variant>
        <vt:i4>1376317</vt:i4>
      </vt:variant>
      <vt:variant>
        <vt:i4>29</vt:i4>
      </vt:variant>
      <vt:variant>
        <vt:i4>0</vt:i4>
      </vt:variant>
      <vt:variant>
        <vt:i4>5</vt:i4>
      </vt:variant>
      <vt:variant>
        <vt:lpwstr/>
      </vt:variant>
      <vt:variant>
        <vt:lpwstr>_Toc149648184</vt:lpwstr>
      </vt:variant>
      <vt:variant>
        <vt:i4>1376317</vt:i4>
      </vt:variant>
      <vt:variant>
        <vt:i4>26</vt:i4>
      </vt:variant>
      <vt:variant>
        <vt:i4>0</vt:i4>
      </vt:variant>
      <vt:variant>
        <vt:i4>5</vt:i4>
      </vt:variant>
      <vt:variant>
        <vt:lpwstr/>
      </vt:variant>
      <vt:variant>
        <vt:lpwstr>_Toc149648183</vt:lpwstr>
      </vt:variant>
      <vt:variant>
        <vt:i4>1376317</vt:i4>
      </vt:variant>
      <vt:variant>
        <vt:i4>23</vt:i4>
      </vt:variant>
      <vt:variant>
        <vt:i4>0</vt:i4>
      </vt:variant>
      <vt:variant>
        <vt:i4>5</vt:i4>
      </vt:variant>
      <vt:variant>
        <vt:lpwstr/>
      </vt:variant>
      <vt:variant>
        <vt:lpwstr>_Toc149648182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2023-11-03T20:09:00Z</dcterms:created>
  <dcterms:modified xsi:type="dcterms:W3CDTF">2023-11-03T20:09:00Z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108a3b8e-4779-4a00-bcf8-0c9bc0f5c377</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Method">
    <vt:lpwstr>Privileged</vt:lpwstr>
  </property>
</Properties>
</file>